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0F8A" w14:textId="134DC13E" w:rsidR="00D53ABB" w:rsidRPr="00D53ABB" w:rsidRDefault="00312264" w:rsidP="00D53ABB">
      <w:pPr>
        <w:spacing w:after="0" w:line="240" w:lineRule="auto"/>
        <w:jc w:val="center"/>
        <w:rPr>
          <w:rFonts w:ascii="Times New Roman" w:hAnsi="Times New Roman" w:cs="Times New Roman"/>
          <w:b/>
          <w:bCs/>
        </w:rPr>
      </w:pPr>
      <w:r w:rsidRPr="00D53ABB">
        <w:rPr>
          <w:rFonts w:ascii="Times New Roman" w:hAnsi="Times New Roman" w:cs="Times New Roman"/>
          <w:b/>
          <w:bCs/>
        </w:rPr>
        <w:t>SANAYİ HIZLANDIRMA YASASI TASLAĞI</w:t>
      </w:r>
    </w:p>
    <w:p w14:paraId="262FB1F6" w14:textId="77777777" w:rsidR="00985DDC" w:rsidRDefault="00985DDC" w:rsidP="00C47EA9">
      <w:pPr>
        <w:spacing w:after="0" w:line="240" w:lineRule="auto"/>
        <w:jc w:val="both"/>
        <w:rPr>
          <w:rFonts w:ascii="Times New Roman" w:hAnsi="Times New Roman" w:cs="Times New Roman"/>
        </w:rPr>
      </w:pPr>
    </w:p>
    <w:p w14:paraId="465DE7D2" w14:textId="63C9A683" w:rsidR="00EB347C" w:rsidRPr="00EB347C" w:rsidRDefault="005949B8" w:rsidP="00C47EA9">
      <w:pPr>
        <w:spacing w:after="0" w:line="240" w:lineRule="auto"/>
        <w:jc w:val="both"/>
        <w:rPr>
          <w:rFonts w:ascii="Times New Roman" w:hAnsi="Times New Roman" w:cs="Times New Roman"/>
        </w:rPr>
      </w:pPr>
      <w:r w:rsidRPr="00EB347C">
        <w:rPr>
          <w:rFonts w:ascii="Times New Roman" w:hAnsi="Times New Roman" w:cs="Times New Roman"/>
        </w:rPr>
        <w:t xml:space="preserve">Avrupa Birliği’nin imalat sanayi kapasitesini 2035 yılında </w:t>
      </w:r>
      <w:proofErr w:type="spellStart"/>
      <w:r w:rsidRPr="00EB347C">
        <w:rPr>
          <w:rFonts w:ascii="Times New Roman" w:hAnsi="Times New Roman" w:cs="Times New Roman"/>
        </w:rPr>
        <w:t>GSMH’nın</w:t>
      </w:r>
      <w:proofErr w:type="spellEnd"/>
      <w:r w:rsidR="00EB347C" w:rsidRPr="00EB347C">
        <w:rPr>
          <w:rFonts w:ascii="Times New Roman" w:hAnsi="Times New Roman" w:cs="Times New Roman"/>
        </w:rPr>
        <w:t xml:space="preserve"> mev</w:t>
      </w:r>
      <w:r w:rsidR="003E2DF3">
        <w:rPr>
          <w:rFonts w:ascii="Times New Roman" w:hAnsi="Times New Roman" w:cs="Times New Roman"/>
        </w:rPr>
        <w:t>c</w:t>
      </w:r>
      <w:r w:rsidR="00EB347C" w:rsidRPr="00EB347C">
        <w:rPr>
          <w:rFonts w:ascii="Times New Roman" w:hAnsi="Times New Roman" w:cs="Times New Roman"/>
        </w:rPr>
        <w:t>ut %14,3 seviyesinden</w:t>
      </w:r>
      <w:r w:rsidRPr="00EB347C">
        <w:rPr>
          <w:rFonts w:ascii="Times New Roman" w:hAnsi="Times New Roman" w:cs="Times New Roman"/>
        </w:rPr>
        <w:t xml:space="preserve"> %20 seviyesine çıkarmayı hedefleyen, bu doğrultuda yeşil dönüşümde öncelikli ve stratejik sektörlerde kamu alımları ve teşvik politikalarında “düşük karbon” ve/veya “AB menşei-</w:t>
      </w:r>
      <w:proofErr w:type="spellStart"/>
      <w:r w:rsidRPr="00EB347C">
        <w:rPr>
          <w:rFonts w:ascii="Times New Roman" w:hAnsi="Times New Roman" w:cs="Times New Roman"/>
        </w:rPr>
        <w:t>Made</w:t>
      </w:r>
      <w:proofErr w:type="spellEnd"/>
      <w:r w:rsidRPr="00EB347C">
        <w:rPr>
          <w:rFonts w:ascii="Times New Roman" w:hAnsi="Times New Roman" w:cs="Times New Roman"/>
        </w:rPr>
        <w:t xml:space="preserve"> in EU” şartı getiren Sanayi Hızlandırma Yasası 4 Mart 2026 tarihinde açıklanmıştır.</w:t>
      </w:r>
      <w:r w:rsidR="00EB347C">
        <w:rPr>
          <w:rFonts w:ascii="Times New Roman" w:hAnsi="Times New Roman" w:cs="Times New Roman"/>
        </w:rPr>
        <w:t xml:space="preserve"> </w:t>
      </w:r>
      <w:r w:rsidR="00EB347C" w:rsidRPr="00EB347C">
        <w:rPr>
          <w:rFonts w:ascii="Times New Roman" w:hAnsi="Times New Roman" w:cs="Times New Roman"/>
        </w:rPr>
        <w:t>AB tarafından mevzuat hedeflerine ulaşılması amacıyla 4 politika alanı belirlenmiştir.</w:t>
      </w:r>
    </w:p>
    <w:p w14:paraId="573899C4" w14:textId="77777777" w:rsidR="00EB347C" w:rsidRPr="00EB347C" w:rsidRDefault="00EB347C" w:rsidP="00C47EA9">
      <w:pPr>
        <w:spacing w:after="0" w:line="240" w:lineRule="auto"/>
        <w:jc w:val="both"/>
        <w:rPr>
          <w:rFonts w:ascii="Times New Roman" w:hAnsi="Times New Roman" w:cs="Times New Roman"/>
        </w:rPr>
      </w:pPr>
    </w:p>
    <w:p w14:paraId="0F388D2B" w14:textId="646F5E1F"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1.</w:t>
      </w:r>
      <w:r w:rsidRPr="00EB347C">
        <w:rPr>
          <w:rFonts w:ascii="Times New Roman" w:hAnsi="Times New Roman" w:cs="Times New Roman"/>
        </w:rPr>
        <w:t xml:space="preserve"> Enerji yoğun sanayilerin </w:t>
      </w:r>
      <w:proofErr w:type="spellStart"/>
      <w:r w:rsidRPr="00EB347C">
        <w:rPr>
          <w:rFonts w:ascii="Times New Roman" w:hAnsi="Times New Roman" w:cs="Times New Roman"/>
        </w:rPr>
        <w:t>karbonsuzlaşma</w:t>
      </w:r>
      <w:proofErr w:type="spellEnd"/>
      <w:r w:rsidRPr="00EB347C">
        <w:rPr>
          <w:rFonts w:ascii="Times New Roman" w:hAnsi="Times New Roman" w:cs="Times New Roman"/>
        </w:rPr>
        <w:t xml:space="preserve"> projeleri de dahil olmak üzere, sanayi üretim projelerine ilişkin </w:t>
      </w:r>
      <w:r w:rsidRPr="00EB347C">
        <w:rPr>
          <w:rFonts w:ascii="Times New Roman" w:hAnsi="Times New Roman" w:cs="Times New Roman"/>
          <w:b/>
          <w:bCs/>
        </w:rPr>
        <w:t>izin süreçlerinin hızlandırılması,</w:t>
      </w:r>
    </w:p>
    <w:p w14:paraId="078C5183" w14:textId="648B0A6C"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 xml:space="preserve">2. </w:t>
      </w:r>
      <w:r w:rsidRPr="00EB347C">
        <w:rPr>
          <w:rFonts w:ascii="Times New Roman" w:hAnsi="Times New Roman" w:cs="Times New Roman"/>
        </w:rPr>
        <w:t xml:space="preserve">Stratejik sektörlerde belirli ürünler için, kamu alımları ve kamu destek programları kapsamında </w:t>
      </w:r>
      <w:r w:rsidRPr="00EB347C">
        <w:rPr>
          <w:rFonts w:ascii="Times New Roman" w:hAnsi="Times New Roman" w:cs="Times New Roman"/>
          <w:b/>
          <w:bCs/>
        </w:rPr>
        <w:t>Birlik menşei şartları, düşük karbon kriterleri veya her ikisinin birlikte uygulanması yoluyla öncü pazar oluşturulması</w:t>
      </w:r>
      <w:r w:rsidRPr="00EB347C">
        <w:rPr>
          <w:rFonts w:ascii="Times New Roman" w:hAnsi="Times New Roman" w:cs="Times New Roman"/>
        </w:rPr>
        <w:t>,</w:t>
      </w:r>
    </w:p>
    <w:p w14:paraId="2D1FCC7B" w14:textId="07853E7F" w:rsidR="00EB347C" w:rsidRPr="00EB347C" w:rsidRDefault="00EB347C" w:rsidP="00EB347C">
      <w:pPr>
        <w:spacing w:after="0" w:line="240" w:lineRule="auto"/>
        <w:jc w:val="both"/>
        <w:rPr>
          <w:rFonts w:ascii="Times New Roman" w:hAnsi="Times New Roman" w:cs="Times New Roman"/>
        </w:rPr>
      </w:pPr>
      <w:r w:rsidRPr="00667B8E">
        <w:rPr>
          <w:rFonts w:ascii="Times New Roman" w:hAnsi="Times New Roman" w:cs="Times New Roman"/>
          <w:b/>
          <w:bCs/>
        </w:rPr>
        <w:t>3.</w:t>
      </w:r>
      <w:r w:rsidRPr="00EB347C">
        <w:rPr>
          <w:rFonts w:ascii="Times New Roman" w:hAnsi="Times New Roman" w:cs="Times New Roman"/>
        </w:rPr>
        <w:t xml:space="preserve"> Stratejik sektörlerde </w:t>
      </w:r>
      <w:r w:rsidRPr="00EB347C">
        <w:rPr>
          <w:rFonts w:ascii="Times New Roman" w:hAnsi="Times New Roman" w:cs="Times New Roman"/>
          <w:b/>
          <w:bCs/>
        </w:rPr>
        <w:t>doğrudan yabancı yatırımlara</w:t>
      </w:r>
      <w:r w:rsidRPr="00EB347C">
        <w:rPr>
          <w:rFonts w:ascii="Times New Roman" w:hAnsi="Times New Roman" w:cs="Times New Roman"/>
        </w:rPr>
        <w:t xml:space="preserve"> ilişkin koşullar belirlenmesi,</w:t>
      </w:r>
    </w:p>
    <w:p w14:paraId="37F465DF" w14:textId="4368330D"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4.</w:t>
      </w:r>
      <w:r w:rsidRPr="00EB347C">
        <w:rPr>
          <w:rFonts w:ascii="Times New Roman" w:hAnsi="Times New Roman" w:cs="Times New Roman"/>
        </w:rPr>
        <w:t xml:space="preserve"> </w:t>
      </w:r>
      <w:r>
        <w:rPr>
          <w:rFonts w:ascii="Times New Roman" w:hAnsi="Times New Roman" w:cs="Times New Roman"/>
          <w:b/>
          <w:bCs/>
        </w:rPr>
        <w:t>S</w:t>
      </w:r>
      <w:r w:rsidRPr="00EB347C">
        <w:rPr>
          <w:rFonts w:ascii="Times New Roman" w:hAnsi="Times New Roman" w:cs="Times New Roman"/>
          <w:b/>
          <w:bCs/>
        </w:rPr>
        <w:t>anayi üretim hızlandırma alanlarının</w:t>
      </w:r>
      <w:r w:rsidRPr="00EB347C">
        <w:rPr>
          <w:rFonts w:ascii="Times New Roman" w:hAnsi="Times New Roman" w:cs="Times New Roman"/>
        </w:rPr>
        <w:t xml:space="preserve"> belirlenmesi.</w:t>
      </w:r>
    </w:p>
    <w:p w14:paraId="29518CE5" w14:textId="77777777" w:rsidR="00EB347C" w:rsidRDefault="00EB347C" w:rsidP="00C47EA9">
      <w:pPr>
        <w:spacing w:after="0" w:line="240" w:lineRule="auto"/>
        <w:jc w:val="both"/>
        <w:rPr>
          <w:rFonts w:ascii="Times New Roman" w:hAnsi="Times New Roman" w:cs="Times New Roman"/>
          <w:color w:val="FF0000"/>
        </w:rPr>
      </w:pPr>
    </w:p>
    <w:p w14:paraId="16DC6183" w14:textId="0725039B" w:rsidR="005949B8" w:rsidRPr="00B139EB"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İzin Süreçlerinin Hızlandırılması</w:t>
      </w:r>
    </w:p>
    <w:p w14:paraId="777032EA" w14:textId="77777777" w:rsidR="00EB347C" w:rsidRPr="00EB347C" w:rsidRDefault="00EB347C" w:rsidP="00EB347C">
      <w:pPr>
        <w:spacing w:after="0" w:line="240" w:lineRule="auto"/>
        <w:jc w:val="both"/>
        <w:rPr>
          <w:rFonts w:ascii="Times New Roman" w:hAnsi="Times New Roman" w:cs="Times New Roman"/>
          <w:color w:val="FF0000"/>
        </w:rPr>
      </w:pPr>
    </w:p>
    <w:p w14:paraId="22F24178" w14:textId="196931C5" w:rsidR="00EB347C" w:rsidRDefault="00EB347C" w:rsidP="00EB347C">
      <w:pPr>
        <w:pStyle w:val="NormalWeb"/>
        <w:spacing w:before="0" w:beforeAutospacing="0" w:after="0" w:afterAutospacing="0"/>
        <w:jc w:val="both"/>
      </w:pPr>
      <w:r>
        <w:t>S</w:t>
      </w:r>
      <w:r w:rsidRPr="00C47EA9">
        <w:t xml:space="preserve">anayi üretim projelerine ilişkin </w:t>
      </w:r>
      <w:r w:rsidRPr="00C47EA9">
        <w:rPr>
          <w:b/>
          <w:bCs/>
        </w:rPr>
        <w:t>izin süreçlerinin sadeleştirilmesi ve dijitalleştirilmesi</w:t>
      </w:r>
      <w:r w:rsidRPr="00C47EA9">
        <w:t xml:space="preserve"> amacıyla “</w:t>
      </w:r>
      <w:r w:rsidRPr="00C47EA9">
        <w:rPr>
          <w:b/>
          <w:bCs/>
        </w:rPr>
        <w:t>tek temas noktası</w:t>
      </w:r>
      <w:r w:rsidRPr="00C47EA9">
        <w:t xml:space="preserve">” sistemi kurulması, izin başvurularının bu sistem üzerinden yetkili makamlara otomatik olarak yönlendirilmesi öngörülmektedir. </w:t>
      </w:r>
      <w:r w:rsidRPr="00492FD8">
        <w:t xml:space="preserve">Bu süreçte işletmelerin kamu otoriteleriyle dijital olarak veri paylaşımını sağlamak amacıyla kurulması öngörülen ve taslak aşamada olan </w:t>
      </w:r>
      <w:r w:rsidRPr="00492FD8">
        <w:rPr>
          <w:b/>
          <w:bCs/>
        </w:rPr>
        <w:t>Avrupa İşletme Cüzdanı</w:t>
      </w:r>
      <w:r w:rsidRPr="00492FD8">
        <w:t xml:space="preserve"> (</w:t>
      </w:r>
      <w:proofErr w:type="spellStart"/>
      <w:r w:rsidRPr="00492FD8">
        <w:t>European</w:t>
      </w:r>
      <w:proofErr w:type="spellEnd"/>
      <w:r w:rsidRPr="00492FD8">
        <w:t xml:space="preserve"> Business </w:t>
      </w:r>
      <w:proofErr w:type="spellStart"/>
      <w:r w:rsidRPr="00492FD8">
        <w:t>Wallet</w:t>
      </w:r>
      <w:proofErr w:type="spellEnd"/>
      <w:r w:rsidRPr="00492FD8">
        <w:t>) sisteminin kullanılması öngörülmektedir.</w:t>
      </w:r>
    </w:p>
    <w:p w14:paraId="5D24C359" w14:textId="77777777" w:rsidR="00985DDC" w:rsidRDefault="00985DDC" w:rsidP="00C47EA9">
      <w:pPr>
        <w:spacing w:after="0" w:line="240" w:lineRule="auto"/>
        <w:jc w:val="both"/>
        <w:rPr>
          <w:rFonts w:ascii="Times New Roman" w:hAnsi="Times New Roman" w:cs="Times New Roman"/>
        </w:rPr>
      </w:pPr>
    </w:p>
    <w:p w14:paraId="692642C7" w14:textId="69998870" w:rsidR="00EB347C"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Öncü Pazarlar oluşturulması</w:t>
      </w:r>
    </w:p>
    <w:p w14:paraId="332822B6" w14:textId="77777777" w:rsidR="00B32F43" w:rsidRDefault="00B32F43" w:rsidP="00B32F43">
      <w:pPr>
        <w:pStyle w:val="NormalWeb"/>
        <w:spacing w:before="0" w:beforeAutospacing="0" w:after="0" w:afterAutospacing="0"/>
        <w:jc w:val="both"/>
      </w:pPr>
    </w:p>
    <w:p w14:paraId="4285C5EA" w14:textId="179C7670" w:rsidR="00B32F43" w:rsidRPr="00B32F43" w:rsidRDefault="00B32F43" w:rsidP="00B32F43">
      <w:pPr>
        <w:pStyle w:val="NormalWeb"/>
        <w:spacing w:before="0" w:beforeAutospacing="0" w:after="0" w:afterAutospacing="0"/>
        <w:jc w:val="both"/>
      </w:pPr>
      <w:r>
        <w:t>Ö</w:t>
      </w:r>
      <w:r w:rsidRPr="00B32F43">
        <w:t>ncelikli sektörlerde AB’nin stratejik sanayi değer zincirlerinin güçlendirilmesine yönelik politikalar belirlenmesi öngörülmekte olup, bu çerçevede kamu alımları ve desteklerine düşük karbon” ve/veya “AB menşei-</w:t>
      </w:r>
      <w:proofErr w:type="spellStart"/>
      <w:r w:rsidRPr="00B32F43">
        <w:t>Made</w:t>
      </w:r>
      <w:proofErr w:type="spellEnd"/>
      <w:r w:rsidRPr="00B32F43">
        <w:t xml:space="preserve"> in EU” şartı getir</w:t>
      </w:r>
      <w:r>
        <w:t>ilmektedir.</w:t>
      </w:r>
    </w:p>
    <w:p w14:paraId="4E5C8C2B" w14:textId="363B1D84" w:rsidR="004853D4" w:rsidRPr="00B139EB" w:rsidRDefault="004853D4" w:rsidP="004853D4">
      <w:pPr>
        <w:pStyle w:val="ListeParagraf"/>
        <w:spacing w:after="0" w:line="240" w:lineRule="auto"/>
        <w:ind w:left="284"/>
        <w:rPr>
          <w:rFonts w:ascii="Times New Roman" w:hAnsi="Times New Roman" w:cs="Times New Roman"/>
          <w:b/>
          <w:bCs/>
          <w:u w:val="single"/>
        </w:rPr>
      </w:pPr>
    </w:p>
    <w:p w14:paraId="2682A4AA" w14:textId="7313A6B1" w:rsidR="004853D4" w:rsidRDefault="004853D4" w:rsidP="00EB347C">
      <w:pPr>
        <w:pStyle w:val="ListeParagraf"/>
        <w:numPr>
          <w:ilvl w:val="0"/>
          <w:numId w:val="11"/>
        </w:numPr>
        <w:spacing w:after="0" w:line="240" w:lineRule="auto"/>
        <w:ind w:left="284" w:hanging="284"/>
        <w:rPr>
          <w:rFonts w:ascii="Times New Roman" w:hAnsi="Times New Roman" w:cs="Times New Roman"/>
          <w:b/>
          <w:bCs/>
        </w:rPr>
      </w:pPr>
      <w:r>
        <w:rPr>
          <w:rFonts w:ascii="Times New Roman" w:hAnsi="Times New Roman" w:cs="Times New Roman"/>
          <w:b/>
          <w:bCs/>
        </w:rPr>
        <w:t xml:space="preserve">Birlik </w:t>
      </w:r>
      <w:r w:rsidR="00B32F43">
        <w:rPr>
          <w:rFonts w:ascii="Times New Roman" w:hAnsi="Times New Roman" w:cs="Times New Roman"/>
          <w:b/>
          <w:bCs/>
        </w:rPr>
        <w:t>Menşei Şartı (Madde 7-9)</w:t>
      </w:r>
    </w:p>
    <w:p w14:paraId="0100AF2A" w14:textId="77777777" w:rsidR="00B32F43" w:rsidRPr="00B32F43" w:rsidRDefault="00B32F43" w:rsidP="00B32F43">
      <w:pPr>
        <w:spacing w:after="0" w:line="240" w:lineRule="auto"/>
        <w:rPr>
          <w:rFonts w:ascii="Times New Roman" w:hAnsi="Times New Roman" w:cs="Times New Roman"/>
          <w:b/>
          <w:bCs/>
        </w:rPr>
      </w:pPr>
    </w:p>
    <w:p w14:paraId="124C85C0" w14:textId="4546328A"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“Birlik menşei” kavramı Madde 7’de Birlik kaynaklı içerik olarak tanımlanmıştır. Birlik ile eşdeğer menşeli içeriğe ilişkin ilave maddelerde ise </w:t>
      </w:r>
      <w:r w:rsidRPr="00B32F43">
        <w:rPr>
          <w:rFonts w:ascii="Times New Roman" w:hAnsi="Times New Roman" w:cs="Times New Roman"/>
          <w:b/>
          <w:bCs/>
        </w:rPr>
        <w:t>AB’nin kamu alımlarına (Madde 8) ve kamu desteğine (Madde 9)</w:t>
      </w:r>
      <w:r w:rsidRPr="00B32F43">
        <w:rPr>
          <w:rFonts w:ascii="Times New Roman" w:hAnsi="Times New Roman" w:cs="Times New Roman"/>
        </w:rPr>
        <w:t xml:space="preserve"> ilişkin politikalarında serbest ticaret anlaşması, </w:t>
      </w:r>
      <w:r w:rsidRPr="00B32F43">
        <w:rPr>
          <w:rFonts w:ascii="Times New Roman" w:hAnsi="Times New Roman" w:cs="Times New Roman"/>
          <w:b/>
          <w:bCs/>
        </w:rPr>
        <w:t>gümrük birliği</w:t>
      </w:r>
      <w:r w:rsidRPr="00B32F43">
        <w:rPr>
          <w:rFonts w:ascii="Times New Roman" w:hAnsi="Times New Roman" w:cs="Times New Roman"/>
        </w:rPr>
        <w:t xml:space="preserve"> veya kamu alımları alanında ikili anlaşması olan üçüncü ülkelerde üretilen ürünlerin de “Birlik menşeli” sayılacağı hükme bağlanmıştır. </w:t>
      </w:r>
    </w:p>
    <w:p w14:paraId="1CB3BFAA" w14:textId="77777777" w:rsidR="00B32F43" w:rsidRPr="00B32F43" w:rsidRDefault="00B32F43" w:rsidP="00B32F43">
      <w:pPr>
        <w:spacing w:after="0" w:line="240" w:lineRule="auto"/>
        <w:jc w:val="both"/>
        <w:rPr>
          <w:rFonts w:ascii="Times New Roman" w:hAnsi="Times New Roman" w:cs="Times New Roman"/>
        </w:rPr>
      </w:pPr>
    </w:p>
    <w:p w14:paraId="6BFF90BD" w14:textId="4757938F" w:rsid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Bunun istisnası olarak, Komisyon tarafından AB ile kamu alımları alanında “ulusal </w:t>
      </w:r>
      <w:proofErr w:type="spellStart"/>
      <w:r w:rsidRPr="00B32F43">
        <w:rPr>
          <w:rFonts w:ascii="Times New Roman" w:hAnsi="Times New Roman" w:cs="Times New Roman"/>
        </w:rPr>
        <w:t>muamele”ye</w:t>
      </w:r>
      <w:proofErr w:type="spellEnd"/>
      <w:r w:rsidRPr="00B32F43">
        <w:rPr>
          <w:rFonts w:ascii="Times New Roman" w:hAnsi="Times New Roman" w:cs="Times New Roman"/>
        </w:rPr>
        <w:t xml:space="preserve"> dayanan karşılıklı bir Pazar açılımı olmaması, AB’nin ekonomik güvenliğinin korunması ve bağımlılığının azaltılması veya olası diğer unsurlar dikkate alınarak kapsam dışına alınacak ülkelerin yetki devrine dayanan bir mevzuat ile yayımlanacağı ifade edilmektedir.</w:t>
      </w:r>
    </w:p>
    <w:p w14:paraId="74C1010B" w14:textId="77777777" w:rsidR="00667B8E" w:rsidRDefault="00667B8E" w:rsidP="00B32F43">
      <w:pPr>
        <w:spacing w:after="0" w:line="240" w:lineRule="auto"/>
        <w:jc w:val="both"/>
        <w:rPr>
          <w:rFonts w:ascii="Times New Roman" w:hAnsi="Times New Roman" w:cs="Times New Roman"/>
        </w:rPr>
      </w:pPr>
    </w:p>
    <w:p w14:paraId="0104734D" w14:textId="77777777" w:rsidR="00667B8E" w:rsidRDefault="00667B8E" w:rsidP="00B32F43">
      <w:pPr>
        <w:spacing w:after="0" w:line="240" w:lineRule="auto"/>
        <w:jc w:val="both"/>
        <w:rPr>
          <w:rFonts w:ascii="Times New Roman" w:hAnsi="Times New Roman" w:cs="Times New Roman"/>
        </w:rPr>
      </w:pPr>
    </w:p>
    <w:p w14:paraId="6CF271DF" w14:textId="77777777" w:rsidR="00667B8E" w:rsidRDefault="00667B8E" w:rsidP="00B32F43">
      <w:pPr>
        <w:spacing w:after="0" w:line="240" w:lineRule="auto"/>
        <w:jc w:val="both"/>
        <w:rPr>
          <w:rFonts w:ascii="Times New Roman" w:hAnsi="Times New Roman" w:cs="Times New Roman"/>
        </w:rPr>
      </w:pPr>
    </w:p>
    <w:p w14:paraId="35359C48" w14:textId="77777777" w:rsidR="00667B8E" w:rsidRDefault="00667B8E" w:rsidP="00B32F43">
      <w:pPr>
        <w:spacing w:after="0" w:line="240" w:lineRule="auto"/>
        <w:jc w:val="both"/>
        <w:rPr>
          <w:rFonts w:ascii="Times New Roman" w:hAnsi="Times New Roman" w:cs="Times New Roman"/>
        </w:rPr>
      </w:pPr>
    </w:p>
    <w:p w14:paraId="09D74795" w14:textId="77777777" w:rsidR="00B32F43" w:rsidRDefault="00B32F43" w:rsidP="00B32F43">
      <w:pPr>
        <w:spacing w:after="0" w:line="240" w:lineRule="auto"/>
        <w:jc w:val="both"/>
        <w:rPr>
          <w:rFonts w:ascii="Times New Roman" w:hAnsi="Times New Roman" w:cs="Times New Roman"/>
        </w:rPr>
      </w:pPr>
    </w:p>
    <w:p w14:paraId="70129F6B" w14:textId="5B45A999" w:rsidR="00B32F43" w:rsidRDefault="00B32F43" w:rsidP="00667B8E">
      <w:pPr>
        <w:pStyle w:val="ListeParagraf"/>
        <w:numPr>
          <w:ilvl w:val="0"/>
          <w:numId w:val="11"/>
        </w:numPr>
        <w:spacing w:after="0" w:line="240" w:lineRule="auto"/>
        <w:ind w:left="284" w:hanging="284"/>
        <w:rPr>
          <w:rFonts w:ascii="Times New Roman" w:hAnsi="Times New Roman" w:cs="Times New Roman"/>
          <w:b/>
          <w:bCs/>
        </w:rPr>
      </w:pPr>
      <w:r w:rsidRPr="00B32F43">
        <w:rPr>
          <w:rFonts w:ascii="Times New Roman" w:hAnsi="Times New Roman" w:cs="Times New Roman"/>
          <w:b/>
          <w:bCs/>
        </w:rPr>
        <w:t>Düşük karbon şartı</w:t>
      </w:r>
      <w:r>
        <w:rPr>
          <w:rFonts w:ascii="Times New Roman" w:hAnsi="Times New Roman" w:cs="Times New Roman"/>
          <w:b/>
          <w:bCs/>
        </w:rPr>
        <w:t xml:space="preserve"> (Madde 10)</w:t>
      </w:r>
    </w:p>
    <w:p w14:paraId="33A0A26C" w14:textId="77777777" w:rsidR="00667B8E" w:rsidRPr="00667B8E" w:rsidRDefault="00667B8E" w:rsidP="00667B8E">
      <w:pPr>
        <w:pStyle w:val="ListeParagraf"/>
        <w:spacing w:after="0" w:line="240" w:lineRule="auto"/>
        <w:ind w:left="284"/>
        <w:rPr>
          <w:rFonts w:ascii="Times New Roman" w:hAnsi="Times New Roman" w:cs="Times New Roman"/>
          <w:b/>
          <w:bCs/>
        </w:rPr>
      </w:pPr>
    </w:p>
    <w:p w14:paraId="157ABD8A"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Düşük karbonlu ürün için esas alınacak mevzuatlar </w:t>
      </w:r>
      <w:r w:rsidRPr="00B32F43">
        <w:rPr>
          <w:rFonts w:ascii="Times New Roman" w:hAnsi="Times New Roman" w:cs="Times New Roman"/>
          <w:b/>
          <w:bCs/>
        </w:rPr>
        <w:t>Yapı Malzemeleri Tüzüğü ile Sürdürülebilir Ürünler için Eko-Tasarım Tüzüğü (ESPR)</w:t>
      </w:r>
      <w:r w:rsidRPr="00B32F43">
        <w:rPr>
          <w:rFonts w:ascii="Times New Roman" w:hAnsi="Times New Roman" w:cs="Times New Roman"/>
        </w:rPr>
        <w:t xml:space="preserve"> olarak belirlenmiştir. Ayrıca, </w:t>
      </w:r>
      <w:r w:rsidRPr="00B32F43">
        <w:rPr>
          <w:rFonts w:ascii="Times New Roman" w:hAnsi="Times New Roman" w:cs="Times New Roman"/>
          <w:b/>
          <w:bCs/>
        </w:rPr>
        <w:t>düşük karbonlu ürünlerin sera gazı yoğunluğuna göre sınıflandırılmasına (etiketleme sistemi) yönelik mevcut ETS ve SKDM mevzuatı ile uyumlu</w:t>
      </w:r>
      <w:r w:rsidRPr="00B32F43">
        <w:rPr>
          <w:rFonts w:ascii="Times New Roman" w:hAnsi="Times New Roman" w:cs="Times New Roman"/>
        </w:rPr>
        <w:t xml:space="preserve"> olarak yetki devrine dayanan mevzuat çıkarma yetkisi verilmektedir.  Bu sistem, özellikle ETS kapsamındaki sanayi ürünleri için geçerli olacak ve düşük karbonlu ürünlere yönelik talep oluşturmayı amaçlayacaktır.</w:t>
      </w:r>
    </w:p>
    <w:p w14:paraId="20C61FBE"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BBC6FDF"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Bu doğrultuda, emisyon hesaplamalarının AB ETS ve SKDM kurallarıyla uyumlu şekilde izlenmesi ve </w:t>
      </w:r>
      <w:r w:rsidRPr="00B32F43">
        <w:rPr>
          <w:rFonts w:ascii="Times New Roman" w:hAnsi="Times New Roman" w:cs="Times New Roman"/>
          <w:b/>
          <w:bCs/>
        </w:rPr>
        <w:t>akredite doğrulayıcılar tarafından doğrulanması zorunlu tutulmakta</w:t>
      </w:r>
      <w:r w:rsidRPr="00B32F43">
        <w:rPr>
          <w:rFonts w:ascii="Times New Roman" w:hAnsi="Times New Roman" w:cs="Times New Roman"/>
        </w:rPr>
        <w:t>; ithal ürünler için de eşdeğer veri setlerinin kullanılması öngörülmektedir.</w:t>
      </w:r>
    </w:p>
    <w:p w14:paraId="371CB287"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2F9A9E6" w14:textId="173871EE"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Ayrıca, Komisyonun söz konusu kuralları geliştirirken elektrik tüketimi ile düşük</w:t>
      </w:r>
      <w:r>
        <w:rPr>
          <w:rFonts w:ascii="Times New Roman" w:hAnsi="Times New Roman" w:cs="Times New Roman"/>
        </w:rPr>
        <w:t xml:space="preserve"> </w:t>
      </w:r>
      <w:r w:rsidRPr="00B32F43">
        <w:rPr>
          <w:rFonts w:ascii="Times New Roman" w:hAnsi="Times New Roman" w:cs="Times New Roman"/>
        </w:rPr>
        <w:t>karbonlu ve biyolojik olmayan yenilenebilir yakıtlardan kaynaklanan emisyon muhasebesine ilişkin yeni Birlik kurallarını, gelişmekte olan düşük karbonlu üretim teknolojilerinin emisyon azaltım potansiyelini, tüm üretim süreçlerinde geri dönüştürülmüş malzemelerin kullanımının teşvik edilmesi ihtiyacını ve Birliğin iklim nötrlüğü hedefleriyle uyumu dikkate alması öngörülmektedir.</w:t>
      </w:r>
    </w:p>
    <w:p w14:paraId="2339F1DF" w14:textId="77777777" w:rsidR="00B32F43" w:rsidRPr="00B32F43" w:rsidRDefault="00B32F43" w:rsidP="00B32F43">
      <w:pPr>
        <w:spacing w:after="0" w:line="240" w:lineRule="auto"/>
        <w:rPr>
          <w:rFonts w:ascii="Times New Roman" w:hAnsi="Times New Roman" w:cs="Times New Roman"/>
          <w:b/>
          <w:bCs/>
        </w:rPr>
      </w:pPr>
    </w:p>
    <w:p w14:paraId="1A233DD5" w14:textId="14E81537" w:rsidR="00EB347C" w:rsidRDefault="00EB347C" w:rsidP="00EB347C">
      <w:pPr>
        <w:pStyle w:val="ListeParagraf"/>
        <w:numPr>
          <w:ilvl w:val="0"/>
          <w:numId w:val="11"/>
        </w:numPr>
        <w:spacing w:after="0" w:line="240" w:lineRule="auto"/>
        <w:ind w:left="284" w:hanging="284"/>
        <w:rPr>
          <w:rFonts w:ascii="Times New Roman" w:hAnsi="Times New Roman" w:cs="Times New Roman"/>
          <w:b/>
          <w:bCs/>
        </w:rPr>
      </w:pPr>
      <w:r w:rsidRPr="00EB347C">
        <w:rPr>
          <w:rFonts w:ascii="Times New Roman" w:hAnsi="Times New Roman" w:cs="Times New Roman"/>
          <w:b/>
          <w:bCs/>
        </w:rPr>
        <w:t>Kamu Alımları</w:t>
      </w:r>
      <w:r w:rsidR="00441D3B">
        <w:rPr>
          <w:rFonts w:ascii="Times New Roman" w:hAnsi="Times New Roman" w:cs="Times New Roman"/>
          <w:b/>
          <w:bCs/>
        </w:rPr>
        <w:t xml:space="preserve"> (Madde 11)</w:t>
      </w:r>
    </w:p>
    <w:p w14:paraId="10A07B8F" w14:textId="77777777" w:rsidR="00EB347C" w:rsidRDefault="00EB347C" w:rsidP="00EB347C">
      <w:pPr>
        <w:spacing w:after="0" w:line="240" w:lineRule="auto"/>
        <w:rPr>
          <w:rFonts w:ascii="Times New Roman" w:hAnsi="Times New Roman" w:cs="Times New Roman"/>
          <w:b/>
          <w:bCs/>
        </w:rPr>
      </w:pPr>
    </w:p>
    <w:p w14:paraId="63B137D8" w14:textId="15B69175" w:rsidR="00A61F88" w:rsidRDefault="003E2DF3" w:rsidP="00E36708">
      <w:pPr>
        <w:spacing w:after="0" w:line="240" w:lineRule="auto"/>
        <w:jc w:val="both"/>
        <w:rPr>
          <w:rFonts w:ascii="Times New Roman" w:hAnsi="Times New Roman" w:cs="Times New Roman"/>
        </w:rPr>
      </w:pPr>
      <w:r>
        <w:rPr>
          <w:rFonts w:ascii="Times New Roman" w:hAnsi="Times New Roman" w:cs="Times New Roman"/>
        </w:rPr>
        <w:t xml:space="preserve">Mevzuat kapsamı sektörlerde </w:t>
      </w:r>
      <w:r w:rsidR="00E36708" w:rsidRPr="00E36708">
        <w:rPr>
          <w:rFonts w:ascii="Times New Roman" w:hAnsi="Times New Roman" w:cs="Times New Roman"/>
        </w:rPr>
        <w:t>AB ile kamu alımları alanında ikili veya uluslararası Pazar açılımı sağlamamış ülkelerin kamu alımları pazarına girişine izin verilmeyeceği hükme bağlanmakta, kamu alımlarında</w:t>
      </w:r>
      <w:r w:rsidR="00B32F43">
        <w:rPr>
          <w:rFonts w:ascii="Times New Roman" w:hAnsi="Times New Roman" w:cs="Times New Roman"/>
        </w:rPr>
        <w:t xml:space="preserve"> </w:t>
      </w:r>
      <w:r w:rsidR="00B32F43" w:rsidRPr="00EB347C">
        <w:rPr>
          <w:rFonts w:ascii="Times New Roman" w:hAnsi="Times New Roman" w:cs="Times New Roman"/>
          <w:b/>
          <w:bCs/>
        </w:rPr>
        <w:t>1 Ocak 2029 itibariyle</w:t>
      </w:r>
      <w:r w:rsidR="00E36708" w:rsidRPr="00E36708">
        <w:rPr>
          <w:rFonts w:ascii="Times New Roman" w:hAnsi="Times New Roman" w:cs="Times New Roman"/>
        </w:rPr>
        <w:t xml:space="preserve"> Ek II </w:t>
      </w:r>
      <w:r w:rsidR="00A61F88">
        <w:rPr>
          <w:rFonts w:ascii="Times New Roman" w:hAnsi="Times New Roman" w:cs="Times New Roman"/>
        </w:rPr>
        <w:t>(</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E36708" w:rsidRPr="00E36708">
        <w:rPr>
          <w:rFonts w:ascii="Times New Roman" w:hAnsi="Times New Roman" w:cs="Times New Roman"/>
        </w:rPr>
        <w:t xml:space="preserve">ve </w:t>
      </w:r>
      <w:proofErr w:type="spellStart"/>
      <w:r w:rsidR="00E36708" w:rsidRPr="00E36708">
        <w:rPr>
          <w:rFonts w:ascii="Times New Roman" w:hAnsi="Times New Roman" w:cs="Times New Roman"/>
        </w:rPr>
        <w:t>III’te</w:t>
      </w:r>
      <w:proofErr w:type="spellEnd"/>
      <w:r w:rsidR="00A61F88">
        <w:rPr>
          <w:rFonts w:ascii="Times New Roman" w:hAnsi="Times New Roman" w:cs="Times New Roman"/>
        </w:rPr>
        <w:t xml:space="preserve"> (</w:t>
      </w:r>
      <w:r w:rsidR="00A61F88" w:rsidRPr="00A61F88">
        <w:rPr>
          <w:rFonts w:ascii="Times New Roman" w:hAnsi="Times New Roman" w:cs="Times New Roman"/>
          <w:b/>
          <w:bCs/>
        </w:rPr>
        <w:t>elektrikli, hibrit ve yakıt hücreli araçlar</w:t>
      </w:r>
      <w:r w:rsidR="00A61F88">
        <w:rPr>
          <w:rFonts w:ascii="Times New Roman" w:hAnsi="Times New Roman" w:cs="Times New Roman"/>
        </w:rPr>
        <w:t>)</w:t>
      </w:r>
      <w:r w:rsidR="00E36708" w:rsidRPr="00E36708">
        <w:rPr>
          <w:rFonts w:ascii="Times New Roman" w:hAnsi="Times New Roman" w:cs="Times New Roman"/>
        </w:rPr>
        <w:t xml:space="preserve"> </w:t>
      </w:r>
      <w:r w:rsidR="00A61F88">
        <w:rPr>
          <w:rFonts w:ascii="Times New Roman" w:hAnsi="Times New Roman" w:cs="Times New Roman"/>
        </w:rPr>
        <w:t xml:space="preserve">listelenen ürün gruplarında belirlenen </w:t>
      </w:r>
      <w:r w:rsidR="00E36708" w:rsidRPr="00E36708">
        <w:rPr>
          <w:rFonts w:ascii="Times New Roman" w:hAnsi="Times New Roman" w:cs="Times New Roman"/>
        </w:rPr>
        <w:t xml:space="preserve">düşük karbon ve/veya </w:t>
      </w:r>
      <w:r w:rsidR="00E36708" w:rsidRPr="00DD67EE">
        <w:rPr>
          <w:rFonts w:ascii="Times New Roman" w:hAnsi="Times New Roman" w:cs="Times New Roman"/>
          <w:b/>
          <w:bCs/>
        </w:rPr>
        <w:t>birlik menşei</w:t>
      </w:r>
      <w:r w:rsidR="00E36708" w:rsidRPr="00E36708">
        <w:rPr>
          <w:rFonts w:ascii="Times New Roman" w:hAnsi="Times New Roman" w:cs="Times New Roman"/>
        </w:rPr>
        <w:t xml:space="preserve"> şartının karşılanmasının bekleneceği belirtilmekte</w:t>
      </w:r>
      <w:r w:rsidR="00A61F88">
        <w:rPr>
          <w:rFonts w:ascii="Times New Roman" w:hAnsi="Times New Roman" w:cs="Times New Roman"/>
        </w:rPr>
        <w:t>dir.</w:t>
      </w:r>
    </w:p>
    <w:p w14:paraId="57DCB51E" w14:textId="77777777" w:rsidR="00A61F88" w:rsidRDefault="00A61F88" w:rsidP="00E36708">
      <w:pPr>
        <w:spacing w:after="0" w:line="240" w:lineRule="auto"/>
        <w:jc w:val="both"/>
        <w:rPr>
          <w:rFonts w:ascii="Times New Roman" w:hAnsi="Times New Roman" w:cs="Times New Roman"/>
        </w:rPr>
      </w:pPr>
    </w:p>
    <w:p w14:paraId="420DF87A" w14:textId="2CE78A79" w:rsidR="00B32F43" w:rsidRDefault="00A61F88" w:rsidP="00E36708">
      <w:pPr>
        <w:spacing w:after="0" w:line="240" w:lineRule="auto"/>
        <w:jc w:val="both"/>
        <w:rPr>
          <w:rFonts w:ascii="Times New Roman" w:hAnsi="Times New Roman" w:cs="Times New Roman"/>
        </w:rPr>
      </w:pPr>
      <w:r>
        <w:rPr>
          <w:rFonts w:ascii="Times New Roman" w:hAnsi="Times New Roman" w:cs="Times New Roman"/>
        </w:rPr>
        <w:t>B</w:t>
      </w:r>
      <w:r w:rsidR="00E36708" w:rsidRPr="00E36708">
        <w:rPr>
          <w:rFonts w:ascii="Times New Roman" w:hAnsi="Times New Roman" w:cs="Times New Roman"/>
        </w:rPr>
        <w:t>unun istisnası olarak da (1) söz konusu ürün veya hizmetlerin yalnızca tek bir ekonomik operatör tarafından sağlanabilmesi ve makul bir alternatifin bulunmaması, (2) uygun teklif veya başvurunun sunulmaması ya da (3) bu şartların uygulanmasının orantısız maliyet (örneğin %25’i aşan maliyet farkı</w:t>
      </w:r>
      <w:r w:rsidR="00E36708">
        <w:rPr>
          <w:rFonts w:ascii="Times New Roman" w:hAnsi="Times New Roman" w:cs="Times New Roman"/>
        </w:rPr>
        <w:t>)</w:t>
      </w:r>
      <w:r w:rsidR="00E36708" w:rsidRPr="00E36708">
        <w:rPr>
          <w:rFonts w:ascii="Times New Roman" w:hAnsi="Times New Roman" w:cs="Times New Roman"/>
        </w:rPr>
        <w:t xml:space="preserve"> veya teknik uyumsuzluk yaratması belirlenm</w:t>
      </w:r>
      <w:r w:rsidR="00E36708">
        <w:rPr>
          <w:rFonts w:ascii="Times New Roman" w:hAnsi="Times New Roman" w:cs="Times New Roman"/>
        </w:rPr>
        <w:t>ektedir.</w:t>
      </w:r>
    </w:p>
    <w:p w14:paraId="68FEBA5A" w14:textId="77777777" w:rsidR="00DD67EE" w:rsidRDefault="00DD67EE" w:rsidP="00E36708">
      <w:pPr>
        <w:spacing w:after="0" w:line="240" w:lineRule="auto"/>
        <w:jc w:val="both"/>
        <w:rPr>
          <w:rFonts w:ascii="Times New Roman" w:hAnsi="Times New Roman" w:cs="Times New Roman"/>
        </w:rPr>
      </w:pPr>
    </w:p>
    <w:p w14:paraId="338D7D11" w14:textId="6DC8B7EA" w:rsidR="00DD67EE" w:rsidRPr="00DD67EE" w:rsidRDefault="00DD67EE" w:rsidP="00DD67EE">
      <w:pPr>
        <w:spacing w:after="0" w:line="240" w:lineRule="auto"/>
        <w:jc w:val="both"/>
        <w:rPr>
          <w:rFonts w:ascii="Times New Roman" w:hAnsi="Times New Roman" w:cs="Times New Roman"/>
        </w:rPr>
      </w:pPr>
      <w:bookmarkStart w:id="0" w:name="_Hlk225186745"/>
      <w:r>
        <w:rPr>
          <w:rFonts w:ascii="Times New Roman" w:hAnsi="Times New Roman" w:cs="Times New Roman"/>
        </w:rPr>
        <w:t>Bu maddede belirtilen “Birlik menşei” şartı Madde 8 uyarınca “</w:t>
      </w:r>
      <w:r w:rsidRPr="00DD67EE">
        <w:rPr>
          <w:rFonts w:ascii="Times New Roman" w:hAnsi="Times New Roman" w:cs="Times New Roman"/>
          <w:b/>
          <w:bCs/>
        </w:rPr>
        <w:t>Birlik ile eşdeğer menş</w:t>
      </w:r>
      <w:r>
        <w:rPr>
          <w:rFonts w:ascii="Times New Roman" w:hAnsi="Times New Roman" w:cs="Times New Roman"/>
        </w:rPr>
        <w:t xml:space="preserve">e” şartını karşılayan ülkeler tarafından karşılanabilecektir. </w:t>
      </w:r>
    </w:p>
    <w:p w14:paraId="79755E40" w14:textId="77777777" w:rsidR="00EB347C" w:rsidRPr="00EB347C" w:rsidRDefault="00EB347C" w:rsidP="00EB347C">
      <w:pPr>
        <w:spacing w:after="0" w:line="240" w:lineRule="auto"/>
        <w:jc w:val="both"/>
        <w:rPr>
          <w:rFonts w:ascii="Times New Roman" w:hAnsi="Times New Roman" w:cs="Times New Roman"/>
        </w:rPr>
      </w:pPr>
    </w:p>
    <w:bookmarkEnd w:id="0"/>
    <w:p w14:paraId="5C3D85A7" w14:textId="52103C80" w:rsidR="00EB347C" w:rsidRPr="00441D3B" w:rsidRDefault="00441D3B" w:rsidP="00441D3B">
      <w:pPr>
        <w:pStyle w:val="ListeParagraf"/>
        <w:numPr>
          <w:ilvl w:val="0"/>
          <w:numId w:val="11"/>
        </w:numPr>
        <w:spacing w:after="0" w:line="240" w:lineRule="auto"/>
        <w:rPr>
          <w:rFonts w:ascii="Times New Roman" w:hAnsi="Times New Roman" w:cs="Times New Roman"/>
          <w:b/>
          <w:bCs/>
        </w:rPr>
      </w:pPr>
      <w:r>
        <w:rPr>
          <w:rFonts w:ascii="Times New Roman" w:hAnsi="Times New Roman" w:cs="Times New Roman"/>
          <w:b/>
          <w:bCs/>
        </w:rPr>
        <w:t>Kamu Destekleri (Madde 12)</w:t>
      </w:r>
    </w:p>
    <w:p w14:paraId="2A3C52EB" w14:textId="77777777" w:rsidR="00EB347C" w:rsidRDefault="00EB347C" w:rsidP="00EB347C">
      <w:pPr>
        <w:spacing w:after="0" w:line="240" w:lineRule="auto"/>
        <w:rPr>
          <w:rFonts w:ascii="Times New Roman" w:hAnsi="Times New Roman" w:cs="Times New Roman"/>
          <w:b/>
          <w:bCs/>
        </w:rPr>
      </w:pPr>
    </w:p>
    <w:p w14:paraId="42398E0B" w14:textId="473F49D3" w:rsidR="005E6319" w:rsidRPr="005E6319" w:rsidRDefault="00441D3B" w:rsidP="005E6319">
      <w:pPr>
        <w:spacing w:after="0" w:line="240" w:lineRule="auto"/>
        <w:jc w:val="both"/>
        <w:rPr>
          <w:rFonts w:ascii="Times New Roman" w:hAnsi="Times New Roman" w:cs="Times New Roman"/>
        </w:rPr>
      </w:pPr>
      <w:r w:rsidRPr="00441D3B">
        <w:rPr>
          <w:rFonts w:ascii="Times New Roman" w:hAnsi="Times New Roman" w:cs="Times New Roman"/>
        </w:rPr>
        <w:t>Kamu destek programların</w:t>
      </w:r>
      <w:r>
        <w:rPr>
          <w:rFonts w:ascii="Times New Roman" w:hAnsi="Times New Roman" w:cs="Times New Roman"/>
        </w:rPr>
        <w:t xml:space="preserve">da </w:t>
      </w:r>
      <w:r w:rsidRPr="00441D3B">
        <w:rPr>
          <w:rFonts w:ascii="Times New Roman" w:hAnsi="Times New Roman" w:cs="Times New Roman"/>
        </w:rPr>
        <w:t>Birlik menşei ve/veya düşük karbon kriterleri</w:t>
      </w:r>
      <w:r>
        <w:rPr>
          <w:rFonts w:ascii="Times New Roman" w:hAnsi="Times New Roman" w:cs="Times New Roman"/>
        </w:rPr>
        <w:t xml:space="preserve"> uygulanması öngörülmekte</w:t>
      </w:r>
      <w:r w:rsidR="005E6319">
        <w:rPr>
          <w:rFonts w:ascii="Times New Roman" w:hAnsi="Times New Roman" w:cs="Times New Roman"/>
        </w:rPr>
        <w:t>dir.</w:t>
      </w:r>
      <w:r w:rsidR="005E6319" w:rsidRPr="005E6319">
        <w:rPr>
          <w:rFonts w:ascii="Times New Roman" w:eastAsia="Times New Roman" w:hAnsi="Symbol" w:cs="Times New Roman"/>
          <w:kern w:val="0"/>
          <w:lang w:eastAsia="tr-TR"/>
          <w14:ligatures w14:val="none"/>
        </w:rPr>
        <w:t xml:space="preserve"> </w:t>
      </w:r>
      <w:r w:rsidR="005E6319" w:rsidRPr="005E6319">
        <w:rPr>
          <w:rFonts w:ascii="Times New Roman" w:hAnsi="Times New Roman" w:cs="Times New Roman"/>
          <w:b/>
          <w:bCs/>
        </w:rPr>
        <w:t xml:space="preserve">Ek II </w:t>
      </w:r>
      <w:r w:rsidR="005E6319" w:rsidRPr="00A61F88">
        <w:rPr>
          <w:rFonts w:ascii="Times New Roman" w:hAnsi="Times New Roman" w:cs="Times New Roman"/>
        </w:rPr>
        <w:t>kapsamındaki sektörlerde</w:t>
      </w:r>
      <w:r w:rsidR="005E6319" w:rsidRPr="005E6319">
        <w:rPr>
          <w:rFonts w:ascii="Times New Roman" w:hAnsi="Times New Roman" w:cs="Times New Roman"/>
        </w:rPr>
        <w:t xml:space="preserve"> </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5E6319" w:rsidRPr="005E6319">
        <w:rPr>
          <w:rFonts w:ascii="Times New Roman" w:hAnsi="Times New Roman" w:cs="Times New Roman"/>
        </w:rPr>
        <w:t xml:space="preserve">üye devletler verdikleri desteklerin </w:t>
      </w:r>
      <w:r w:rsidR="005E6319" w:rsidRPr="005E6319">
        <w:rPr>
          <w:rFonts w:ascii="Times New Roman" w:hAnsi="Times New Roman" w:cs="Times New Roman"/>
          <w:b/>
          <w:bCs/>
        </w:rPr>
        <w:t>en az %45’inde</w:t>
      </w:r>
      <w:r w:rsidR="005E6319" w:rsidRPr="005E6319">
        <w:rPr>
          <w:rFonts w:ascii="Times New Roman" w:hAnsi="Times New Roman" w:cs="Times New Roman"/>
        </w:rPr>
        <w:t xml:space="preserve"> bu şartları uygulamak zorunda</w:t>
      </w:r>
      <w:r w:rsidR="005E6319">
        <w:rPr>
          <w:rFonts w:ascii="Times New Roman" w:hAnsi="Times New Roman" w:cs="Times New Roman"/>
        </w:rPr>
        <w:t xml:space="preserve"> iken, </w:t>
      </w:r>
      <w:r w:rsidR="005E6319" w:rsidRPr="005E6319">
        <w:rPr>
          <w:rFonts w:ascii="Times New Roman" w:hAnsi="Times New Roman" w:cs="Times New Roman"/>
          <w:b/>
          <w:bCs/>
        </w:rPr>
        <w:t xml:space="preserve">Ek III </w:t>
      </w:r>
      <w:r w:rsidR="005E6319" w:rsidRPr="005E6319">
        <w:rPr>
          <w:rFonts w:ascii="Times New Roman" w:hAnsi="Times New Roman" w:cs="Times New Roman"/>
        </w:rPr>
        <w:t xml:space="preserve">kapsamındaki sektörlerde </w:t>
      </w:r>
      <w:r w:rsidR="00A61F88" w:rsidRPr="00A61F88">
        <w:rPr>
          <w:rFonts w:ascii="Times New Roman" w:hAnsi="Times New Roman" w:cs="Times New Roman"/>
          <w:b/>
          <w:bCs/>
        </w:rPr>
        <w:t>(elektrikli, hibrit ve yakıt hücreli araçlar)</w:t>
      </w:r>
      <w:r w:rsidR="00A61F88" w:rsidRPr="00E36708">
        <w:rPr>
          <w:rFonts w:ascii="Times New Roman" w:hAnsi="Times New Roman" w:cs="Times New Roman"/>
          <w:b/>
          <w:bCs/>
        </w:rPr>
        <w:t xml:space="preserve"> </w:t>
      </w:r>
      <w:r w:rsidR="005E6319" w:rsidRPr="005E6319">
        <w:rPr>
          <w:rFonts w:ascii="Times New Roman" w:hAnsi="Times New Roman" w:cs="Times New Roman"/>
        </w:rPr>
        <w:t xml:space="preserve">ise kamu desteklerinin </w:t>
      </w:r>
      <w:r w:rsidR="005E6319" w:rsidRPr="005E6319">
        <w:rPr>
          <w:rFonts w:ascii="Times New Roman" w:hAnsi="Times New Roman" w:cs="Times New Roman"/>
          <w:b/>
          <w:bCs/>
        </w:rPr>
        <w:t>tamamında (%100)</w:t>
      </w:r>
      <w:r w:rsidR="005E6319" w:rsidRPr="005E6319">
        <w:rPr>
          <w:rFonts w:ascii="Times New Roman" w:hAnsi="Times New Roman" w:cs="Times New Roman"/>
        </w:rPr>
        <w:t xml:space="preserve"> bu şartlar uygulanacaktır.</w:t>
      </w:r>
    </w:p>
    <w:p w14:paraId="5B9E8CC7" w14:textId="350B269F" w:rsidR="005E6319" w:rsidRDefault="005E6319" w:rsidP="00441D3B">
      <w:pPr>
        <w:spacing w:after="0" w:line="240" w:lineRule="auto"/>
        <w:jc w:val="both"/>
        <w:rPr>
          <w:rFonts w:ascii="Times New Roman" w:hAnsi="Times New Roman" w:cs="Times New Roman"/>
        </w:rPr>
      </w:pPr>
    </w:p>
    <w:p w14:paraId="107B4473" w14:textId="5CC9062D" w:rsidR="005E6319" w:rsidRDefault="005E6319" w:rsidP="00441D3B">
      <w:pPr>
        <w:spacing w:after="0" w:line="240" w:lineRule="auto"/>
        <w:jc w:val="both"/>
        <w:rPr>
          <w:rFonts w:ascii="Times New Roman" w:hAnsi="Times New Roman" w:cs="Times New Roman"/>
        </w:rPr>
      </w:pPr>
      <w:r>
        <w:rPr>
          <w:rFonts w:ascii="Times New Roman" w:hAnsi="Times New Roman" w:cs="Times New Roman"/>
        </w:rPr>
        <w:t>Birlik menşei ve düşük karbon şartının karşılanmasına ilişkin kriterler kamu alımları ile aynıdır.</w:t>
      </w:r>
    </w:p>
    <w:p w14:paraId="2756209F" w14:textId="588273C3" w:rsidR="005E6319" w:rsidRDefault="00441D3B" w:rsidP="00441D3B">
      <w:pPr>
        <w:spacing w:after="0" w:line="240" w:lineRule="auto"/>
        <w:jc w:val="both"/>
        <w:rPr>
          <w:rFonts w:ascii="Times New Roman" w:hAnsi="Times New Roman" w:cs="Times New Roman"/>
        </w:rPr>
      </w:pPr>
      <w:r w:rsidRPr="00441D3B">
        <w:rPr>
          <w:rFonts w:ascii="Times New Roman" w:hAnsi="Times New Roman" w:cs="Times New Roman"/>
        </w:rPr>
        <w:t>Ayrıca taslakta, bu kriterlerin uygulanmasının ciddi gecikmelere (7 ayı aşan) veya orantısız maliyetlere (%30 artış) yol açması halinde istisna tanınabileceği düzenlenmiş</w:t>
      </w:r>
      <w:r w:rsidR="005E6319">
        <w:rPr>
          <w:rFonts w:ascii="Times New Roman" w:hAnsi="Times New Roman" w:cs="Times New Roman"/>
        </w:rPr>
        <w:t>tir.</w:t>
      </w:r>
    </w:p>
    <w:p w14:paraId="30A95A96" w14:textId="3076EFFF" w:rsidR="00DD67EE" w:rsidRPr="00DD67EE" w:rsidRDefault="00DD67EE" w:rsidP="00DD67EE">
      <w:pPr>
        <w:spacing w:after="0" w:line="240" w:lineRule="auto"/>
        <w:jc w:val="both"/>
        <w:rPr>
          <w:rFonts w:ascii="Times New Roman" w:hAnsi="Times New Roman" w:cs="Times New Roman"/>
        </w:rPr>
      </w:pPr>
      <w:r w:rsidRPr="00DD67EE">
        <w:rPr>
          <w:rFonts w:ascii="Times New Roman" w:hAnsi="Times New Roman" w:cs="Times New Roman"/>
        </w:rPr>
        <w:lastRenderedPageBreak/>
        <w:t xml:space="preserve">Bu maddede belirtilen “Birlik menşei” şartı </w:t>
      </w:r>
      <w:r>
        <w:rPr>
          <w:rFonts w:ascii="Times New Roman" w:hAnsi="Times New Roman" w:cs="Times New Roman"/>
        </w:rPr>
        <w:t xml:space="preserve">Madde 9 uyarınca </w:t>
      </w:r>
      <w:r w:rsidRPr="00DD67EE">
        <w:rPr>
          <w:rFonts w:ascii="Times New Roman" w:hAnsi="Times New Roman" w:cs="Times New Roman"/>
        </w:rPr>
        <w:t>“</w:t>
      </w:r>
      <w:r w:rsidRPr="00DD67EE">
        <w:rPr>
          <w:rFonts w:ascii="Times New Roman" w:hAnsi="Times New Roman" w:cs="Times New Roman"/>
          <w:b/>
          <w:bCs/>
        </w:rPr>
        <w:t>Birlik ile eşdeğer menş</w:t>
      </w:r>
      <w:r w:rsidRPr="00DD67EE">
        <w:rPr>
          <w:rFonts w:ascii="Times New Roman" w:hAnsi="Times New Roman" w:cs="Times New Roman"/>
        </w:rPr>
        <w:t xml:space="preserve">e” şartını karşılayan ülkeler tarafından karşılanabilecektir. </w:t>
      </w:r>
    </w:p>
    <w:p w14:paraId="3EDC2D93" w14:textId="77777777" w:rsidR="00C23DA7" w:rsidRDefault="00C23DA7" w:rsidP="00441D3B">
      <w:pPr>
        <w:spacing w:after="0" w:line="240" w:lineRule="auto"/>
        <w:jc w:val="both"/>
        <w:rPr>
          <w:rFonts w:ascii="Times New Roman" w:hAnsi="Times New Roman" w:cs="Times New Roman"/>
        </w:rPr>
      </w:pPr>
    </w:p>
    <w:p w14:paraId="20963ECF" w14:textId="4C1FB782" w:rsidR="00C23DA7" w:rsidRDefault="00000924" w:rsidP="00B32F43">
      <w:pPr>
        <w:pStyle w:val="ListeParagraf"/>
        <w:numPr>
          <w:ilvl w:val="0"/>
          <w:numId w:val="11"/>
        </w:numPr>
        <w:spacing w:after="0" w:line="240" w:lineRule="auto"/>
        <w:jc w:val="both"/>
        <w:rPr>
          <w:rFonts w:ascii="Times New Roman" w:hAnsi="Times New Roman" w:cs="Times New Roman"/>
          <w:b/>
          <w:bCs/>
        </w:rPr>
      </w:pPr>
      <w:r w:rsidRPr="00B32F43">
        <w:rPr>
          <w:rFonts w:ascii="Times New Roman" w:hAnsi="Times New Roman" w:cs="Times New Roman"/>
          <w:b/>
          <w:bCs/>
        </w:rPr>
        <w:t>Şirket Filolarına</w:t>
      </w:r>
      <w:r w:rsidR="00C23DA7" w:rsidRPr="00B32F43">
        <w:rPr>
          <w:rFonts w:ascii="Times New Roman" w:hAnsi="Times New Roman" w:cs="Times New Roman"/>
          <w:b/>
          <w:bCs/>
        </w:rPr>
        <w:t xml:space="preserve"> Sağlanacak Kamu Destekleri (Madde 13)</w:t>
      </w:r>
    </w:p>
    <w:p w14:paraId="65FAF030" w14:textId="77777777" w:rsidR="00922F91" w:rsidRPr="00B32F43" w:rsidRDefault="00922F91" w:rsidP="00922F91">
      <w:pPr>
        <w:pStyle w:val="ListeParagraf"/>
        <w:spacing w:after="0" w:line="240" w:lineRule="auto"/>
        <w:ind w:left="644"/>
        <w:jc w:val="both"/>
        <w:rPr>
          <w:rFonts w:ascii="Times New Roman" w:hAnsi="Times New Roman" w:cs="Times New Roman"/>
          <w:b/>
          <w:bCs/>
        </w:rPr>
      </w:pPr>
    </w:p>
    <w:p w14:paraId="5C586DC7" w14:textId="49B7AB72" w:rsidR="00C23DA7" w:rsidRPr="00CD7BA7" w:rsidRDefault="00C23DA7" w:rsidP="00441D3B">
      <w:pPr>
        <w:spacing w:after="0" w:line="240" w:lineRule="auto"/>
        <w:jc w:val="both"/>
        <w:rPr>
          <w:rFonts w:ascii="Times New Roman" w:hAnsi="Times New Roman" w:cs="Times New Roman"/>
          <w:b/>
          <w:bCs/>
        </w:rPr>
      </w:pPr>
      <w:r w:rsidRPr="00C23DA7">
        <w:rPr>
          <w:rFonts w:ascii="Times New Roman" w:hAnsi="Times New Roman" w:cs="Times New Roman"/>
        </w:rPr>
        <w:t>Temiz Kurumsal Araçlar Tüzüğü teklifin</w:t>
      </w:r>
      <w:r w:rsidR="004853D4">
        <w:rPr>
          <w:rFonts w:ascii="Times New Roman" w:hAnsi="Times New Roman" w:cs="Times New Roman"/>
        </w:rPr>
        <w:t>in 4. Maddesine atıfla</w:t>
      </w:r>
      <w:r w:rsidRPr="00C23DA7">
        <w:rPr>
          <w:rFonts w:ascii="Times New Roman" w:hAnsi="Times New Roman" w:cs="Times New Roman"/>
        </w:rPr>
        <w:t xml:space="preserve"> kurumsal araçlara finansal destek verilebilmesi için aranacak “AB’de üretilmiştir” kriterinin, bu Yasanın 7. maddesinde geçen “Birlik menşei (</w:t>
      </w:r>
      <w:proofErr w:type="spellStart"/>
      <w:r w:rsidRPr="00C23DA7">
        <w:rPr>
          <w:rFonts w:ascii="Times New Roman" w:hAnsi="Times New Roman" w:cs="Times New Roman"/>
        </w:rPr>
        <w:t>Union</w:t>
      </w:r>
      <w:proofErr w:type="spellEnd"/>
      <w:r w:rsidRPr="00C23DA7">
        <w:rPr>
          <w:rFonts w:ascii="Times New Roman" w:hAnsi="Times New Roman" w:cs="Times New Roman"/>
        </w:rPr>
        <w:t xml:space="preserve"> </w:t>
      </w:r>
      <w:proofErr w:type="spellStart"/>
      <w:r w:rsidRPr="00C23DA7">
        <w:rPr>
          <w:rFonts w:ascii="Times New Roman" w:hAnsi="Times New Roman" w:cs="Times New Roman"/>
        </w:rPr>
        <w:t>origin</w:t>
      </w:r>
      <w:proofErr w:type="spellEnd"/>
      <w:r w:rsidRPr="00C23DA7">
        <w:rPr>
          <w:rFonts w:ascii="Times New Roman" w:hAnsi="Times New Roman" w:cs="Times New Roman"/>
        </w:rPr>
        <w:t>)” kavramıyla eşdeğer sayılacağı açıkça belirtilmiş</w:t>
      </w:r>
      <w:r w:rsidR="00A61F88">
        <w:rPr>
          <w:rFonts w:ascii="Times New Roman" w:hAnsi="Times New Roman" w:cs="Times New Roman"/>
        </w:rPr>
        <w:t xml:space="preserve">, </w:t>
      </w:r>
      <w:r w:rsidR="00A61F88" w:rsidRPr="00CD7BA7">
        <w:rPr>
          <w:rFonts w:ascii="Times New Roman" w:hAnsi="Times New Roman" w:cs="Times New Roman"/>
          <w:b/>
          <w:bCs/>
        </w:rPr>
        <w:t>eşdeğer içeriğe ilişkin Madde 9’a atıf yapılmamıştır.</w:t>
      </w:r>
    </w:p>
    <w:p w14:paraId="1FFAFAE9" w14:textId="77777777" w:rsidR="004853D4" w:rsidRDefault="004853D4" w:rsidP="00441D3B">
      <w:pPr>
        <w:spacing w:after="0" w:line="240" w:lineRule="auto"/>
        <w:jc w:val="both"/>
        <w:rPr>
          <w:rFonts w:ascii="Times New Roman" w:hAnsi="Times New Roman" w:cs="Times New Roman"/>
        </w:rPr>
      </w:pPr>
    </w:p>
    <w:p w14:paraId="61B727F1" w14:textId="0B93C37F" w:rsidR="004853D4" w:rsidRDefault="00000924" w:rsidP="004853D4">
      <w:pPr>
        <w:spacing w:after="0" w:line="240" w:lineRule="auto"/>
        <w:jc w:val="both"/>
        <w:rPr>
          <w:rFonts w:ascii="Times New Roman" w:hAnsi="Times New Roman" w:cs="Times New Roman"/>
          <w:b/>
          <w:bCs/>
        </w:rPr>
      </w:pPr>
      <w:r>
        <w:rPr>
          <w:rFonts w:ascii="Times New Roman" w:hAnsi="Times New Roman" w:cs="Times New Roman"/>
        </w:rPr>
        <w:t xml:space="preserve">Henüz Taslak aşamada olan </w:t>
      </w:r>
      <w:r w:rsidRPr="00C23DA7">
        <w:rPr>
          <w:rFonts w:ascii="Times New Roman" w:hAnsi="Times New Roman" w:cs="Times New Roman"/>
        </w:rPr>
        <w:t>Temiz Kurumsal Araçlar Tüzüğü</w:t>
      </w:r>
      <w:r>
        <w:rPr>
          <w:rFonts w:ascii="Times New Roman" w:hAnsi="Times New Roman" w:cs="Times New Roman"/>
        </w:rPr>
        <w:t>’nün 4. Maddesinde</w:t>
      </w:r>
      <w:r w:rsidR="004853D4" w:rsidRPr="004853D4">
        <w:rPr>
          <w:rFonts w:ascii="Times New Roman" w:hAnsi="Times New Roman" w:cs="Times New Roman"/>
        </w:rPr>
        <w:t xml:space="preserve">, üye devletler tarafından, </w:t>
      </w:r>
      <w:r w:rsidR="004853D4" w:rsidRPr="004853D4">
        <w:rPr>
          <w:rFonts w:ascii="Times New Roman" w:hAnsi="Times New Roman" w:cs="Times New Roman"/>
          <w:b/>
          <w:bCs/>
        </w:rPr>
        <w:t>1 Ocak 2028’den itibaren</w:t>
      </w:r>
      <w:r w:rsidR="004853D4" w:rsidRPr="004853D4">
        <w:rPr>
          <w:rFonts w:ascii="Times New Roman" w:hAnsi="Times New Roman" w:cs="Times New Roman"/>
        </w:rPr>
        <w:t xml:space="preserve"> kurumsal otomobil ve hafif ticari araçlara yönelik mali desteğin,</w:t>
      </w:r>
      <w:r w:rsidR="004853D4" w:rsidRPr="004853D4">
        <w:rPr>
          <w:rFonts w:ascii="Times New Roman" w:hAnsi="Times New Roman" w:cs="Times New Roman"/>
          <w:b/>
          <w:bCs/>
        </w:rPr>
        <w:t xml:space="preserve"> yalnızca araçların sıfır ve düşük emisyonlu</w:t>
      </w:r>
      <w:r w:rsidR="004853D4">
        <w:rPr>
          <w:rFonts w:ascii="Times New Roman" w:hAnsi="Times New Roman" w:cs="Times New Roman"/>
          <w:b/>
          <w:bCs/>
        </w:rPr>
        <w:t xml:space="preserve"> </w:t>
      </w:r>
      <w:r w:rsidR="004853D4" w:rsidRPr="004853D4">
        <w:rPr>
          <w:rFonts w:ascii="Times New Roman" w:hAnsi="Times New Roman" w:cs="Times New Roman"/>
          <w:b/>
          <w:bCs/>
        </w:rPr>
        <w:t>ve “Avrupa Birliği’nde üretilmiştir (</w:t>
      </w:r>
      <w:proofErr w:type="spellStart"/>
      <w:r w:rsidR="004853D4" w:rsidRPr="004853D4">
        <w:rPr>
          <w:rFonts w:ascii="Times New Roman" w:hAnsi="Times New Roman" w:cs="Times New Roman"/>
          <w:b/>
          <w:bCs/>
          <w:i/>
          <w:iCs/>
        </w:rPr>
        <w:t>Made</w:t>
      </w:r>
      <w:proofErr w:type="spellEnd"/>
      <w:r w:rsidR="004853D4" w:rsidRPr="004853D4">
        <w:rPr>
          <w:rFonts w:ascii="Times New Roman" w:hAnsi="Times New Roman" w:cs="Times New Roman"/>
          <w:b/>
          <w:bCs/>
          <w:i/>
          <w:iCs/>
        </w:rPr>
        <w:t xml:space="preserve"> in </w:t>
      </w:r>
      <w:proofErr w:type="spellStart"/>
      <w:r w:rsidR="004853D4" w:rsidRPr="004853D4">
        <w:rPr>
          <w:rFonts w:ascii="Times New Roman" w:hAnsi="Times New Roman" w:cs="Times New Roman"/>
          <w:b/>
          <w:bCs/>
          <w:i/>
          <w:iCs/>
        </w:rPr>
        <w:t>the</w:t>
      </w:r>
      <w:proofErr w:type="spellEnd"/>
      <w:r w:rsidR="004853D4" w:rsidRPr="004853D4">
        <w:rPr>
          <w:rFonts w:ascii="Times New Roman" w:hAnsi="Times New Roman" w:cs="Times New Roman"/>
          <w:b/>
          <w:bCs/>
          <w:i/>
          <w:iCs/>
        </w:rPr>
        <w:t xml:space="preserve"> </w:t>
      </w:r>
      <w:proofErr w:type="spellStart"/>
      <w:r w:rsidR="004853D4" w:rsidRPr="004853D4">
        <w:rPr>
          <w:rFonts w:ascii="Times New Roman" w:hAnsi="Times New Roman" w:cs="Times New Roman"/>
          <w:b/>
          <w:bCs/>
          <w:i/>
          <w:iCs/>
        </w:rPr>
        <w:t>European</w:t>
      </w:r>
      <w:proofErr w:type="spellEnd"/>
      <w:r w:rsidR="004853D4" w:rsidRPr="004853D4">
        <w:rPr>
          <w:rFonts w:ascii="Times New Roman" w:hAnsi="Times New Roman" w:cs="Times New Roman"/>
          <w:b/>
          <w:bCs/>
          <w:i/>
          <w:iCs/>
        </w:rPr>
        <w:t xml:space="preserve"> </w:t>
      </w:r>
      <w:proofErr w:type="spellStart"/>
      <w:r w:rsidR="004853D4" w:rsidRPr="004853D4">
        <w:rPr>
          <w:rFonts w:ascii="Times New Roman" w:hAnsi="Times New Roman" w:cs="Times New Roman"/>
          <w:b/>
          <w:bCs/>
          <w:i/>
          <w:iCs/>
        </w:rPr>
        <w:t>Union</w:t>
      </w:r>
      <w:proofErr w:type="spellEnd"/>
      <w:r w:rsidR="004853D4" w:rsidRPr="004853D4">
        <w:rPr>
          <w:rFonts w:ascii="Times New Roman" w:hAnsi="Times New Roman" w:cs="Times New Roman"/>
          <w:b/>
          <w:bCs/>
        </w:rPr>
        <w:t xml:space="preserve">)” </w:t>
      </w:r>
      <w:r w:rsidR="004853D4" w:rsidRPr="004853D4">
        <w:rPr>
          <w:rFonts w:ascii="Times New Roman" w:hAnsi="Times New Roman" w:cs="Times New Roman"/>
        </w:rPr>
        <w:t>olması şartıyla sağlanacağı hüküm altına alınmıştır.</w:t>
      </w:r>
    </w:p>
    <w:p w14:paraId="5745B8BF" w14:textId="77777777" w:rsidR="004853D4" w:rsidRPr="004853D4" w:rsidRDefault="004853D4" w:rsidP="004853D4">
      <w:pPr>
        <w:spacing w:after="0" w:line="240" w:lineRule="auto"/>
        <w:jc w:val="both"/>
        <w:rPr>
          <w:rFonts w:ascii="Times New Roman" w:hAnsi="Times New Roman" w:cs="Times New Roman"/>
          <w:b/>
          <w:bCs/>
        </w:rPr>
      </w:pPr>
    </w:p>
    <w:p w14:paraId="749954EA" w14:textId="4BD0FBDB" w:rsidR="00CD7BA7" w:rsidRPr="00C157C5" w:rsidRDefault="004853D4" w:rsidP="00C157C5">
      <w:pPr>
        <w:spacing w:after="0" w:line="240" w:lineRule="auto"/>
        <w:jc w:val="both"/>
        <w:rPr>
          <w:rFonts w:ascii="Times New Roman" w:hAnsi="Times New Roman" w:cs="Times New Roman"/>
          <w:b/>
          <w:bCs/>
        </w:rPr>
      </w:pPr>
      <w:r>
        <w:rPr>
          <w:rFonts w:ascii="Times New Roman" w:hAnsi="Times New Roman" w:cs="Times New Roman"/>
        </w:rPr>
        <w:t>Öte yandan</w:t>
      </w:r>
      <w:r w:rsidRPr="004853D4">
        <w:rPr>
          <w:rFonts w:ascii="Times New Roman" w:hAnsi="Times New Roman" w:cs="Times New Roman"/>
        </w:rPr>
        <w:t xml:space="preserve"> Komisyon, bir </w:t>
      </w:r>
      <w:r w:rsidR="00CD7BA7">
        <w:rPr>
          <w:rFonts w:ascii="Times New Roman" w:hAnsi="Times New Roman" w:cs="Times New Roman"/>
        </w:rPr>
        <w:t xml:space="preserve">kurumsal </w:t>
      </w:r>
      <w:r w:rsidRPr="004853D4">
        <w:rPr>
          <w:rFonts w:ascii="Times New Roman" w:hAnsi="Times New Roman" w:cs="Times New Roman"/>
        </w:rPr>
        <w:t>aracın “</w:t>
      </w:r>
      <w:r w:rsidRPr="004853D4">
        <w:rPr>
          <w:rFonts w:ascii="Times New Roman" w:hAnsi="Times New Roman" w:cs="Times New Roman"/>
          <w:b/>
          <w:bCs/>
        </w:rPr>
        <w:t>AB’de üretilmiş” sayılmasına ilişkin kriterlerin belirlenmesine yönelik metodolojiyi ortaya koy</w:t>
      </w:r>
      <w:r w:rsidR="00CD7BA7">
        <w:rPr>
          <w:rFonts w:ascii="Times New Roman" w:hAnsi="Times New Roman" w:cs="Times New Roman"/>
          <w:b/>
          <w:bCs/>
        </w:rPr>
        <w:t xml:space="preserve">an bir mevzuat çıkarmak üzere yetkilendirilmiştir. </w:t>
      </w:r>
      <w:r w:rsidRPr="004853D4">
        <w:rPr>
          <w:rFonts w:ascii="Times New Roman" w:hAnsi="Times New Roman" w:cs="Times New Roman"/>
          <w:b/>
          <w:bCs/>
        </w:rPr>
        <w:t xml:space="preserve"> </w:t>
      </w:r>
    </w:p>
    <w:p w14:paraId="0D605C16" w14:textId="77777777" w:rsidR="00922F91" w:rsidRDefault="00922F91" w:rsidP="00922F91">
      <w:pPr>
        <w:spacing w:after="0" w:line="240" w:lineRule="auto"/>
        <w:jc w:val="both"/>
        <w:rPr>
          <w:rFonts w:ascii="Times New Roman" w:hAnsi="Times New Roman" w:cs="Times New Roman"/>
          <w:b/>
          <w:bCs/>
          <w:u w:val="single"/>
        </w:rPr>
      </w:pPr>
    </w:p>
    <w:p w14:paraId="17BBB383" w14:textId="751405A3" w:rsidR="00922F91" w:rsidRPr="00B41C8E" w:rsidRDefault="00B41C8E" w:rsidP="00922F91">
      <w:pPr>
        <w:pStyle w:val="ListeParagraf"/>
        <w:numPr>
          <w:ilvl w:val="0"/>
          <w:numId w:val="11"/>
        </w:numPr>
        <w:spacing w:after="0" w:line="240" w:lineRule="auto"/>
        <w:jc w:val="both"/>
        <w:rPr>
          <w:rFonts w:ascii="Times New Roman" w:hAnsi="Times New Roman" w:cs="Times New Roman"/>
          <w:b/>
          <w:bCs/>
          <w:u w:val="single"/>
        </w:rPr>
      </w:pPr>
      <w:r w:rsidRPr="00B41C8E">
        <w:rPr>
          <w:rFonts w:ascii="Times New Roman" w:hAnsi="Times New Roman" w:cs="Times New Roman"/>
          <w:b/>
          <w:bCs/>
        </w:rPr>
        <w:t xml:space="preserve">Otomotivde </w:t>
      </w:r>
      <w:r>
        <w:rPr>
          <w:rFonts w:ascii="Times New Roman" w:hAnsi="Times New Roman" w:cs="Times New Roman"/>
          <w:b/>
          <w:bCs/>
        </w:rPr>
        <w:t>CO₂ emisyon standartlarının karşılanmasına ilişkin krediler (Madde 14)</w:t>
      </w:r>
    </w:p>
    <w:p w14:paraId="72F39BB8" w14:textId="77777777" w:rsidR="00B41C8E" w:rsidRDefault="00B41C8E" w:rsidP="00B41C8E">
      <w:pPr>
        <w:pStyle w:val="ListeParagraf"/>
        <w:spacing w:after="0" w:line="240" w:lineRule="auto"/>
        <w:ind w:left="644"/>
        <w:jc w:val="both"/>
        <w:rPr>
          <w:rFonts w:ascii="Times New Roman" w:hAnsi="Times New Roman" w:cs="Times New Roman"/>
          <w:b/>
          <w:bCs/>
          <w:u w:val="single"/>
        </w:rPr>
      </w:pPr>
    </w:p>
    <w:p w14:paraId="5FA171D9" w14:textId="2A007ACA" w:rsidR="00B41C8E" w:rsidRDefault="00B41C8E" w:rsidP="00226C38">
      <w:pPr>
        <w:spacing w:after="0" w:line="240" w:lineRule="auto"/>
        <w:jc w:val="both"/>
        <w:rPr>
          <w:rFonts w:ascii="Times New Roman" w:hAnsi="Times New Roman" w:cs="Times New Roman"/>
          <w:b/>
          <w:bCs/>
        </w:rPr>
      </w:pPr>
      <w:r>
        <w:rPr>
          <w:rFonts w:ascii="Times New Roman" w:hAnsi="Times New Roman" w:cs="Times New Roman"/>
        </w:rPr>
        <w:t xml:space="preserve">Avrupa Komisyonu tarafından </w:t>
      </w:r>
      <w:r>
        <w:rPr>
          <w:rFonts w:ascii="Times New Roman" w:hAnsi="Times New Roman" w:cs="Times New Roman"/>
          <w:b/>
          <w:bCs/>
        </w:rPr>
        <w:t>16 Aralık 2025</w:t>
      </w:r>
      <w:r>
        <w:rPr>
          <w:rFonts w:ascii="Times New Roman" w:hAnsi="Times New Roman" w:cs="Times New Roman"/>
        </w:rPr>
        <w:t xml:space="preserve"> tarihinde açıklanan Otomotiv Paketinin bir parçası olarak, otomobil ve hafif ticari araçlara (</w:t>
      </w:r>
      <w:proofErr w:type="spellStart"/>
      <w:r>
        <w:rPr>
          <w:rFonts w:ascii="Times New Roman" w:hAnsi="Times New Roman" w:cs="Times New Roman"/>
        </w:rPr>
        <w:t>van</w:t>
      </w:r>
      <w:proofErr w:type="spellEnd"/>
      <w:r>
        <w:rPr>
          <w:rFonts w:ascii="Times New Roman" w:hAnsi="Times New Roman" w:cs="Times New Roman"/>
        </w:rPr>
        <w:t xml:space="preserve">) yönelik </w:t>
      </w:r>
      <w:r>
        <w:rPr>
          <w:rFonts w:ascii="Times New Roman" w:hAnsi="Times New Roman" w:cs="Times New Roman"/>
          <w:b/>
          <w:bCs/>
        </w:rPr>
        <w:t>CO₂ emisyon standartlarının gözden geçirilmesine</w:t>
      </w:r>
      <w:r>
        <w:rPr>
          <w:rFonts w:ascii="Times New Roman" w:hAnsi="Times New Roman" w:cs="Times New Roman"/>
        </w:rPr>
        <w:t xml:space="preserve"> ilişkin Tüzük Taslağı kapsamında</w:t>
      </w:r>
      <w:r w:rsidR="00213DCA">
        <w:rPr>
          <w:rFonts w:ascii="Times New Roman" w:hAnsi="Times New Roman" w:cs="Times New Roman"/>
        </w:rPr>
        <w:t xml:space="preserve"> </w:t>
      </w:r>
      <w:r w:rsidR="00213DCA" w:rsidRPr="00213DCA">
        <w:rPr>
          <w:rFonts w:ascii="Times New Roman" w:hAnsi="Times New Roman" w:cs="Times New Roman"/>
        </w:rPr>
        <w:t xml:space="preserve">2035 yılına kadar otomobil ve hafif ticari araçlar için </w:t>
      </w:r>
      <w:r w:rsidR="00213DCA" w:rsidRPr="00213DCA">
        <w:rPr>
          <w:rFonts w:ascii="Times New Roman" w:hAnsi="Times New Roman" w:cs="Times New Roman"/>
          <w:b/>
          <w:bCs/>
        </w:rPr>
        <w:t xml:space="preserve">emisyon azaltım hedefi %100’den %90’a düşürülmüştür. </w:t>
      </w:r>
      <w:r w:rsidR="00213DCA" w:rsidRPr="00213DCA">
        <w:rPr>
          <w:rFonts w:ascii="Times New Roman" w:hAnsi="Times New Roman" w:cs="Times New Roman"/>
          <w:i/>
          <w:iCs/>
        </w:rPr>
        <w:t xml:space="preserve">(2021 referans yılına kıyasla) </w:t>
      </w:r>
      <w:r w:rsidR="00213DCA" w:rsidRPr="00213DCA">
        <w:rPr>
          <w:rFonts w:ascii="Times New Roman" w:hAnsi="Times New Roman" w:cs="Times New Roman"/>
        </w:rPr>
        <w:t>2035’ten itibaren, otomobil üreticilerinin egzoz kaynaklı emisyonlarda %90 oranında azaltım sağla</w:t>
      </w:r>
      <w:r w:rsidR="00213DCA">
        <w:rPr>
          <w:rFonts w:ascii="Times New Roman" w:hAnsi="Times New Roman" w:cs="Times New Roman"/>
        </w:rPr>
        <w:t>n</w:t>
      </w:r>
      <w:r w:rsidR="00213DCA" w:rsidRPr="00213DCA">
        <w:rPr>
          <w:rFonts w:ascii="Times New Roman" w:hAnsi="Times New Roman" w:cs="Times New Roman"/>
        </w:rPr>
        <w:t xml:space="preserve">ması gerekecek; kalan %10’luk emisyon </w:t>
      </w:r>
      <w:r w:rsidR="00213DCA">
        <w:rPr>
          <w:rFonts w:ascii="Times New Roman" w:hAnsi="Times New Roman" w:cs="Times New Roman"/>
        </w:rPr>
        <w:t>hedefinin ise</w:t>
      </w:r>
      <w:r w:rsidR="00213DCA" w:rsidRPr="00213DCA">
        <w:rPr>
          <w:rFonts w:ascii="Times New Roman" w:hAnsi="Times New Roman" w:cs="Times New Roman"/>
        </w:rPr>
        <w:t xml:space="preserve"> </w:t>
      </w:r>
      <w:r w:rsidR="00213DCA">
        <w:rPr>
          <w:rFonts w:ascii="Times New Roman" w:hAnsi="Times New Roman" w:cs="Times New Roman"/>
          <w:b/>
          <w:bCs/>
        </w:rPr>
        <w:t>%7’lik</w:t>
      </w:r>
      <w:r w:rsidR="00213DCA" w:rsidRPr="00213DCA">
        <w:rPr>
          <w:rFonts w:ascii="Times New Roman" w:hAnsi="Times New Roman" w:cs="Times New Roman"/>
          <w:b/>
          <w:bCs/>
        </w:rPr>
        <w:t xml:space="preserve"> </w:t>
      </w:r>
      <w:r w:rsidR="00213DCA">
        <w:rPr>
          <w:rFonts w:ascii="Times New Roman" w:hAnsi="Times New Roman" w:cs="Times New Roman"/>
          <w:b/>
          <w:bCs/>
        </w:rPr>
        <w:t xml:space="preserve">kısmı </w:t>
      </w:r>
      <w:proofErr w:type="spellStart"/>
      <w:r w:rsidR="00213DCA" w:rsidRPr="00213DCA">
        <w:rPr>
          <w:rFonts w:ascii="Times New Roman" w:hAnsi="Times New Roman" w:cs="Times New Roman"/>
          <w:b/>
          <w:bCs/>
        </w:rPr>
        <w:t>Birlik’te</w:t>
      </w:r>
      <w:proofErr w:type="spellEnd"/>
      <w:r w:rsidR="00213DCA" w:rsidRPr="00213DCA">
        <w:rPr>
          <w:rFonts w:ascii="Times New Roman" w:hAnsi="Times New Roman" w:cs="Times New Roman"/>
          <w:b/>
          <w:bCs/>
        </w:rPr>
        <w:t xml:space="preserve"> üretilen düşük karbonlu çelik kullanımı</w:t>
      </w:r>
      <w:r w:rsidR="00213DCA">
        <w:rPr>
          <w:rFonts w:ascii="Times New Roman" w:hAnsi="Times New Roman" w:cs="Times New Roman"/>
          <w:b/>
          <w:bCs/>
        </w:rPr>
        <w:t xml:space="preserve">, %3’lük kısmı ise </w:t>
      </w:r>
      <w:r w:rsidR="00213DCA" w:rsidRPr="00213DCA">
        <w:rPr>
          <w:rFonts w:ascii="Times New Roman" w:hAnsi="Times New Roman" w:cs="Times New Roman"/>
          <w:b/>
          <w:bCs/>
        </w:rPr>
        <w:t>e-yakıt ve biyoyakıt</w:t>
      </w:r>
      <w:r w:rsidR="00213DCA">
        <w:rPr>
          <w:rFonts w:ascii="Times New Roman" w:hAnsi="Times New Roman" w:cs="Times New Roman"/>
          <w:b/>
          <w:bCs/>
        </w:rPr>
        <w:t xml:space="preserve"> kullanımı ile karşılanabilecektir. </w:t>
      </w:r>
    </w:p>
    <w:p w14:paraId="52B68A0E" w14:textId="2B5ADAB3" w:rsidR="006D089A" w:rsidRDefault="006D089A" w:rsidP="00C157C5">
      <w:pPr>
        <w:pStyle w:val="NormalWeb"/>
        <w:jc w:val="both"/>
      </w:pPr>
      <w:r w:rsidRPr="006D089A">
        <w:t xml:space="preserve">Otomotiv Paketi kapsamında küçük elektrikli araçların üretimini teşvik etmek amacıyla öngörülen </w:t>
      </w:r>
      <w:r w:rsidRPr="006D089A">
        <w:rPr>
          <w:b/>
          <w:bCs/>
        </w:rPr>
        <w:t>“süper kredi” mekanizmasında</w:t>
      </w:r>
      <w:r w:rsidR="00C1201E">
        <w:rPr>
          <w:b/>
          <w:bCs/>
        </w:rPr>
        <w:t>,</w:t>
      </w:r>
      <w:r w:rsidRPr="006D089A">
        <w:t xml:space="preserve"> söz konusu araçların “Birlik </w:t>
      </w:r>
      <w:proofErr w:type="spellStart"/>
      <w:r w:rsidRPr="006D089A">
        <w:t>menşe”li</w:t>
      </w:r>
      <w:proofErr w:type="spellEnd"/>
      <w:r w:rsidRPr="006D089A">
        <w:t xml:space="preserve"> olması durumunda CO₂ emisyon hedeflerine uyumun hesaplanmasında </w:t>
      </w:r>
      <w:r w:rsidRPr="006D089A">
        <w:rPr>
          <w:b/>
          <w:bCs/>
        </w:rPr>
        <w:t>her bir araç 1 araç yerine 1,3 araç olarak sayılacaktır</w:t>
      </w:r>
      <w:r w:rsidRPr="006D089A">
        <w:t>.</w:t>
      </w:r>
    </w:p>
    <w:p w14:paraId="54763A01" w14:textId="67F87683" w:rsidR="00B41C8E" w:rsidRDefault="000554D9" w:rsidP="00213DCA">
      <w:pPr>
        <w:spacing w:after="0" w:line="240" w:lineRule="auto"/>
        <w:jc w:val="both"/>
        <w:rPr>
          <w:rFonts w:ascii="Times New Roman" w:hAnsi="Times New Roman" w:cs="Times New Roman"/>
          <w:b/>
          <w:bCs/>
        </w:rPr>
      </w:pPr>
      <w:r>
        <w:rPr>
          <w:rFonts w:ascii="Times New Roman" w:hAnsi="Times New Roman" w:cs="Times New Roman"/>
        </w:rPr>
        <w:t xml:space="preserve">Bu çerçevede, IAA Taslak </w:t>
      </w:r>
      <w:r w:rsidR="00213DCA">
        <w:rPr>
          <w:rFonts w:ascii="Times New Roman" w:hAnsi="Times New Roman" w:cs="Times New Roman"/>
        </w:rPr>
        <w:t xml:space="preserve">Madde 14’de küçük emisyonsuz araçlarda CO2 standartlarının karşılanması için getirilen </w:t>
      </w:r>
      <w:r w:rsidR="00213DCA" w:rsidRPr="00C54189">
        <w:rPr>
          <w:rFonts w:ascii="Times New Roman" w:hAnsi="Times New Roman" w:cs="Times New Roman"/>
          <w:b/>
          <w:bCs/>
        </w:rPr>
        <w:t>“Birlik menşe</w:t>
      </w:r>
      <w:r w:rsidR="00213DCA">
        <w:rPr>
          <w:rFonts w:ascii="Times New Roman" w:hAnsi="Times New Roman" w:cs="Times New Roman"/>
        </w:rPr>
        <w:t xml:space="preserve">” şartı ile </w:t>
      </w:r>
      <w:r w:rsidR="00213DCA" w:rsidRPr="00213DCA">
        <w:rPr>
          <w:rFonts w:ascii="Times New Roman" w:hAnsi="Times New Roman" w:cs="Times New Roman"/>
        </w:rPr>
        <w:t>yeni binek otomobiller ve yeni hafif ticari araçlar</w:t>
      </w:r>
      <w:r w:rsidR="00213DCA">
        <w:rPr>
          <w:rFonts w:ascii="Times New Roman" w:hAnsi="Times New Roman" w:cs="Times New Roman"/>
        </w:rPr>
        <w:t>da CO2 standartlarının karşılanması için “</w:t>
      </w:r>
      <w:r w:rsidR="00213DCA" w:rsidRPr="00213DCA">
        <w:rPr>
          <w:rFonts w:ascii="Times New Roman" w:hAnsi="Times New Roman" w:cs="Times New Roman"/>
          <w:b/>
          <w:bCs/>
        </w:rPr>
        <w:t>AB menşeli yeşil çelik kullanımı</w:t>
      </w:r>
      <w:r w:rsidR="00213DCA">
        <w:rPr>
          <w:rFonts w:ascii="Times New Roman" w:hAnsi="Times New Roman" w:cs="Times New Roman"/>
          <w:b/>
          <w:bCs/>
        </w:rPr>
        <w:t xml:space="preserve">” </w:t>
      </w:r>
      <w:r w:rsidR="00213DCA" w:rsidRPr="00213DCA">
        <w:rPr>
          <w:rFonts w:ascii="Times New Roman" w:hAnsi="Times New Roman" w:cs="Times New Roman"/>
        </w:rPr>
        <w:t xml:space="preserve">halinde </w:t>
      </w:r>
      <w:r w:rsidR="00213DCA">
        <w:rPr>
          <w:rFonts w:ascii="Times New Roman" w:hAnsi="Times New Roman" w:cs="Times New Roman"/>
        </w:rPr>
        <w:t>sağlanan %7’lik kredi</w:t>
      </w:r>
      <w:r w:rsidR="00C54189">
        <w:rPr>
          <w:rFonts w:ascii="Times New Roman" w:hAnsi="Times New Roman" w:cs="Times New Roman"/>
        </w:rPr>
        <w:t xml:space="preserve">ye ilişkin menşe şartı da </w:t>
      </w:r>
      <w:r w:rsidR="00C54189" w:rsidRPr="00C54189">
        <w:rPr>
          <w:rFonts w:ascii="Times New Roman" w:hAnsi="Times New Roman" w:cs="Times New Roman"/>
          <w:b/>
          <w:bCs/>
        </w:rPr>
        <w:t xml:space="preserve">sadece “Birlik </w:t>
      </w:r>
      <w:proofErr w:type="spellStart"/>
      <w:r w:rsidR="00C54189" w:rsidRPr="00C54189">
        <w:rPr>
          <w:rFonts w:ascii="Times New Roman" w:hAnsi="Times New Roman" w:cs="Times New Roman"/>
          <w:b/>
          <w:bCs/>
        </w:rPr>
        <w:t>menşei”ne</w:t>
      </w:r>
      <w:proofErr w:type="spellEnd"/>
      <w:r w:rsidR="00C54189" w:rsidRPr="00C54189">
        <w:rPr>
          <w:rFonts w:ascii="Times New Roman" w:hAnsi="Times New Roman" w:cs="Times New Roman"/>
          <w:b/>
          <w:bCs/>
        </w:rPr>
        <w:t xml:space="preserve"> atıf yapan Madde 7’ye bağlanmış</w:t>
      </w:r>
      <w:r w:rsidR="006D089A">
        <w:rPr>
          <w:rFonts w:ascii="Times New Roman" w:hAnsi="Times New Roman" w:cs="Times New Roman"/>
          <w:b/>
          <w:bCs/>
        </w:rPr>
        <w:t xml:space="preserve">, anılan kriterler ise EK III Bölüm </w:t>
      </w:r>
      <w:proofErr w:type="spellStart"/>
      <w:r w:rsidR="006D089A">
        <w:rPr>
          <w:rFonts w:ascii="Times New Roman" w:hAnsi="Times New Roman" w:cs="Times New Roman"/>
          <w:b/>
          <w:bCs/>
        </w:rPr>
        <w:t>III’te</w:t>
      </w:r>
      <w:proofErr w:type="spellEnd"/>
      <w:r w:rsidR="006D089A">
        <w:rPr>
          <w:rFonts w:ascii="Times New Roman" w:hAnsi="Times New Roman" w:cs="Times New Roman"/>
          <w:b/>
          <w:bCs/>
        </w:rPr>
        <w:t xml:space="preserve"> belirlenmiştir.</w:t>
      </w:r>
    </w:p>
    <w:p w14:paraId="374FF510" w14:textId="77777777" w:rsidR="006D089A" w:rsidRDefault="006D089A" w:rsidP="00213DCA">
      <w:pPr>
        <w:spacing w:after="0" w:line="240" w:lineRule="auto"/>
        <w:jc w:val="both"/>
        <w:rPr>
          <w:rFonts w:ascii="Times New Roman" w:hAnsi="Times New Roman" w:cs="Times New Roman"/>
          <w:b/>
          <w:bCs/>
        </w:rPr>
      </w:pPr>
    </w:p>
    <w:p w14:paraId="733C3DA4" w14:textId="53972894" w:rsidR="006D089A" w:rsidRPr="00213DCA" w:rsidRDefault="006D089A" w:rsidP="00213DCA">
      <w:pPr>
        <w:spacing w:after="0" w:line="240" w:lineRule="auto"/>
        <w:jc w:val="both"/>
        <w:rPr>
          <w:rFonts w:ascii="Times New Roman" w:hAnsi="Times New Roman" w:cs="Times New Roman"/>
          <w:b/>
          <w:bCs/>
          <w:u w:val="single"/>
        </w:rPr>
      </w:pPr>
      <w:r>
        <w:rPr>
          <w:rFonts w:ascii="Times New Roman" w:hAnsi="Times New Roman" w:cs="Times New Roman"/>
          <w:b/>
          <w:bCs/>
        </w:rPr>
        <w:t>Ancak Otomotiv Paketinde yer alan ilgili mevzuat taslağında “Birlik menşe” şartına ilişkin Komisyona yetki devrine dayanan bir mevzuat çıkarma yetkisi de verildiği görülmektedir.</w:t>
      </w:r>
    </w:p>
    <w:p w14:paraId="4BAD99A8" w14:textId="77777777" w:rsidR="00467DDA" w:rsidRPr="00512B83" w:rsidRDefault="00467DDA" w:rsidP="00467DDA">
      <w:pPr>
        <w:pStyle w:val="NormalWeb"/>
        <w:spacing w:before="0" w:beforeAutospacing="0" w:after="0" w:afterAutospacing="0"/>
        <w:jc w:val="both"/>
        <w:rPr>
          <w:color w:val="C00000"/>
        </w:rPr>
      </w:pPr>
    </w:p>
    <w:p w14:paraId="5E467DEC" w14:textId="1D573B2D" w:rsidR="00C9372D" w:rsidRDefault="00512B83" w:rsidP="00C54189">
      <w:pPr>
        <w:pStyle w:val="NormalWeb"/>
        <w:spacing w:before="0" w:beforeAutospacing="0" w:after="0" w:afterAutospacing="0"/>
        <w:jc w:val="both"/>
      </w:pPr>
      <w:bookmarkStart w:id="1" w:name="_Hlk223361747"/>
      <w:r>
        <w:t>Öte yandan mevzuata</w:t>
      </w:r>
      <w:r w:rsidR="00C54189">
        <w:t xml:space="preserve"> (Madde15)</w:t>
      </w:r>
      <w:r>
        <w:t xml:space="preserve">, 2018/858 sayılı </w:t>
      </w:r>
      <w:r w:rsidRPr="00512B83">
        <w:t xml:space="preserve">mevzuat </w:t>
      </w:r>
      <w:r>
        <w:t xml:space="preserve">gereği </w:t>
      </w:r>
      <w:r w:rsidRPr="00512B83">
        <w:t xml:space="preserve">araçların AB’de piyasaya arzı için zorunlu olan </w:t>
      </w:r>
      <w:r w:rsidRPr="00512B83">
        <w:rPr>
          <w:b/>
          <w:bCs/>
        </w:rPr>
        <w:t xml:space="preserve">uygunluk belgesi </w:t>
      </w:r>
      <w:r w:rsidRPr="00512B83">
        <w:t xml:space="preserve">sürecine ek bir yükümlülük getirilerek, üreticilerin yalnızca teknik uygunluğu değil aynı zamanda </w:t>
      </w:r>
      <w:r w:rsidRPr="00512B83">
        <w:rPr>
          <w:b/>
          <w:bCs/>
        </w:rPr>
        <w:t xml:space="preserve">Birlik menşei kriterlerine uyumu da </w:t>
      </w:r>
      <w:r w:rsidRPr="00512B83">
        <w:rPr>
          <w:b/>
          <w:bCs/>
        </w:rPr>
        <w:lastRenderedPageBreak/>
        <w:t>belgelemeleri zorunlu hale ge</w:t>
      </w:r>
      <w:r w:rsidR="00775DEE">
        <w:rPr>
          <w:b/>
          <w:bCs/>
        </w:rPr>
        <w:t>lmiştir</w:t>
      </w:r>
      <w:r w:rsidRPr="00512B83">
        <w:t xml:space="preserve">. </w:t>
      </w:r>
      <w:bookmarkEnd w:id="1"/>
      <w:r w:rsidRPr="00512B83">
        <w:t>Bu durum, menşe şartlarının fiilen uygulanmasını ve denetlenmesini sağlayacak</w:t>
      </w:r>
      <w:r w:rsidR="00BC4799">
        <w:t>, b</w:t>
      </w:r>
      <w:r w:rsidR="00BC4799" w:rsidRPr="00BC4799">
        <w:t>öylece, araçların AB pazarına girişinde menşe kriterleri de teknik uygunluk kadar önemli bir unsur haline gel</w:t>
      </w:r>
      <w:r w:rsidR="00BC4799">
        <w:t>ecektir.</w:t>
      </w:r>
    </w:p>
    <w:p w14:paraId="587518F6" w14:textId="77777777" w:rsidR="00467DDA" w:rsidRPr="0036672F" w:rsidRDefault="00467DDA" w:rsidP="00BC4799">
      <w:pPr>
        <w:pStyle w:val="NormalWeb"/>
        <w:spacing w:before="0" w:beforeAutospacing="0" w:after="0" w:afterAutospacing="0"/>
        <w:ind w:left="720"/>
        <w:jc w:val="both"/>
        <w:rPr>
          <w:color w:val="C00000"/>
        </w:rPr>
      </w:pPr>
    </w:p>
    <w:p w14:paraId="17ECDE6E" w14:textId="5D659376" w:rsidR="00C54189" w:rsidRDefault="00C54189" w:rsidP="00C54189">
      <w:pPr>
        <w:pStyle w:val="NormalWeb"/>
        <w:spacing w:before="0" w:beforeAutospacing="0" w:after="0" w:afterAutospacing="0"/>
        <w:jc w:val="both"/>
        <w:rPr>
          <w:b/>
          <w:bCs/>
        </w:rPr>
      </w:pPr>
      <w:r w:rsidRPr="00C54189">
        <w:rPr>
          <w:b/>
          <w:bCs/>
        </w:rPr>
        <w:t>Diğer sektörlere genişleme</w:t>
      </w:r>
      <w:r>
        <w:rPr>
          <w:b/>
          <w:bCs/>
        </w:rPr>
        <w:t xml:space="preserve"> (Madde 16)</w:t>
      </w:r>
    </w:p>
    <w:p w14:paraId="57D60681" w14:textId="77777777" w:rsidR="00C54189" w:rsidRPr="00C54189" w:rsidRDefault="00C54189" w:rsidP="00C54189">
      <w:pPr>
        <w:pStyle w:val="NormalWeb"/>
        <w:spacing w:before="0" w:beforeAutospacing="0" w:after="0" w:afterAutospacing="0"/>
        <w:jc w:val="both"/>
        <w:rPr>
          <w:b/>
          <w:bCs/>
        </w:rPr>
      </w:pPr>
    </w:p>
    <w:p w14:paraId="35148B36" w14:textId="415C95D5" w:rsidR="00BC4799" w:rsidRDefault="00BC4799" w:rsidP="00C54189">
      <w:pPr>
        <w:pStyle w:val="NormalWeb"/>
        <w:spacing w:before="0" w:beforeAutospacing="0" w:after="0" w:afterAutospacing="0"/>
        <w:jc w:val="both"/>
      </w:pPr>
      <w:r w:rsidRPr="00BC4799">
        <w:t xml:space="preserve">Taslak </w:t>
      </w:r>
      <w:r>
        <w:t xml:space="preserve">Komisyona </w:t>
      </w:r>
      <w:r w:rsidRPr="00BC4799">
        <w:rPr>
          <w:b/>
          <w:bCs/>
        </w:rPr>
        <w:t>kimya sektörü ve genel olarak stratejik ürünler</w:t>
      </w:r>
      <w:r>
        <w:t xml:space="preserve"> bakımından </w:t>
      </w:r>
      <w:r w:rsidRPr="00BC4799">
        <w:rPr>
          <w:rStyle w:val="Gl"/>
          <w:rFonts w:eastAsiaTheme="majorEastAsia"/>
          <w:b w:val="0"/>
          <w:bCs w:val="0"/>
        </w:rPr>
        <w:t>talep yönlü politikalar ve teknik kuralları belirleme konusunda geniş yetkiler</w:t>
      </w:r>
      <w:r>
        <w:t xml:space="preserve"> vermektedir. Buna göre Komisyon, piyasa koşulları, teknolojik gelişmeler, rekabetçilik ve iklim hedefleri dikkate alınarak </w:t>
      </w:r>
      <w:r w:rsidRPr="00BC4799">
        <w:rPr>
          <w:rStyle w:val="Gl"/>
          <w:rFonts w:eastAsiaTheme="majorEastAsia"/>
        </w:rPr>
        <w:t>Birlik menşei ve düşük karbon gerekliliklerini güncelleme ve genişletme yetkisine</w:t>
      </w:r>
      <w:r>
        <w:t xml:space="preserve"> sahip olacaktır. Bunun yanında, ürünlerde Birlik menşei oranının nasıl hesaplanacağını ve bu kurallara uyumun nasıl doğrulanacağını belirleyen </w:t>
      </w:r>
      <w:r w:rsidRPr="00BC4799">
        <w:rPr>
          <w:rStyle w:val="Gl"/>
          <w:rFonts w:eastAsiaTheme="majorEastAsia"/>
        </w:rPr>
        <w:t>uygulama kuralları ve dijital doğrulama mekanizmaları</w:t>
      </w:r>
      <w:r>
        <w:t xml:space="preserve"> da oluşturabilecektir.</w:t>
      </w:r>
    </w:p>
    <w:p w14:paraId="5D8E3153" w14:textId="77777777" w:rsidR="00C54189" w:rsidRDefault="00C54189" w:rsidP="00C54189">
      <w:pPr>
        <w:pStyle w:val="NormalWeb"/>
        <w:spacing w:before="0" w:beforeAutospacing="0" w:after="0" w:afterAutospacing="0"/>
        <w:jc w:val="both"/>
      </w:pPr>
    </w:p>
    <w:p w14:paraId="33D2EB62" w14:textId="616F59F6" w:rsidR="00C54189" w:rsidRPr="00C54189" w:rsidRDefault="00C54189" w:rsidP="00C54189">
      <w:pPr>
        <w:pStyle w:val="NormalWeb"/>
        <w:numPr>
          <w:ilvl w:val="0"/>
          <w:numId w:val="10"/>
        </w:numPr>
        <w:spacing w:before="0" w:beforeAutospacing="0" w:after="0" w:afterAutospacing="0"/>
        <w:ind w:left="426" w:hanging="426"/>
        <w:jc w:val="both"/>
        <w:rPr>
          <w:b/>
          <w:bCs/>
        </w:rPr>
      </w:pPr>
      <w:r w:rsidRPr="00C54189">
        <w:rPr>
          <w:b/>
          <w:bCs/>
        </w:rPr>
        <w:t>Doğrudan Yabancı Yatırımlar</w:t>
      </w:r>
    </w:p>
    <w:p w14:paraId="2C607124" w14:textId="77777777" w:rsidR="00467DDA" w:rsidRDefault="00467DDA" w:rsidP="00467DDA">
      <w:pPr>
        <w:pStyle w:val="NormalWeb"/>
        <w:spacing w:before="0" w:beforeAutospacing="0" w:after="0" w:afterAutospacing="0"/>
        <w:ind w:left="720"/>
        <w:jc w:val="both"/>
      </w:pPr>
    </w:p>
    <w:p w14:paraId="41A3ABB3" w14:textId="4F427374" w:rsidR="00C54189" w:rsidRDefault="001B43AD" w:rsidP="00C54189">
      <w:pPr>
        <w:pStyle w:val="NormalWeb"/>
        <w:spacing w:before="0" w:beforeAutospacing="0" w:after="0" w:afterAutospacing="0"/>
        <w:jc w:val="both"/>
        <w:rPr>
          <w:rStyle w:val="Gl"/>
          <w:rFonts w:eastAsiaTheme="majorEastAsia"/>
          <w:b w:val="0"/>
          <w:bCs w:val="0"/>
        </w:rPr>
      </w:pPr>
      <w:r w:rsidRPr="001B43AD">
        <w:t xml:space="preserve">100 milyon </w:t>
      </w:r>
      <w:r>
        <w:t>E</w:t>
      </w:r>
      <w:r w:rsidRPr="001B43AD">
        <w:t>uroyu aşan ve küresel üretimin %40’ınd</w:t>
      </w:r>
      <w:r w:rsidR="00C543FD">
        <w:t>an</w:t>
      </w:r>
      <w:r w:rsidRPr="001B43AD">
        <w:t xml:space="preserve"> fazlasını elinde bulunduran üçüncü ülkelerden gelen</w:t>
      </w:r>
      <w:r>
        <w:rPr>
          <w:b/>
          <w:bCs/>
        </w:rPr>
        <w:t xml:space="preserve"> y</w:t>
      </w:r>
      <w:r w:rsidR="00BC4799" w:rsidRPr="00BC4799">
        <w:rPr>
          <w:b/>
          <w:bCs/>
        </w:rPr>
        <w:t>abancı yatırımlara</w:t>
      </w:r>
      <w:r w:rsidR="00BC4799" w:rsidRPr="0036672F">
        <w:t xml:space="preserve"> ilişkin hükümlerin</w:t>
      </w:r>
      <w:r w:rsidR="00BC4799">
        <w:t xml:space="preserve"> </w:t>
      </w:r>
      <w:r w:rsidR="00BC4799" w:rsidRPr="00467DDA">
        <w:rPr>
          <w:u w:val="single"/>
        </w:rPr>
        <w:t>sektör kapsamı</w:t>
      </w:r>
      <w:r w:rsidR="00BC4799">
        <w:t xml:space="preserve"> </w:t>
      </w:r>
      <w:r w:rsidR="00BC4799" w:rsidRPr="00C543FD">
        <w:rPr>
          <w:rStyle w:val="Gl"/>
          <w:rFonts w:eastAsiaTheme="majorEastAsia"/>
        </w:rPr>
        <w:t>batarya teknolojileri ve batarya enerji depolama sistemlerine ilişkin değer zinciri, tam elektrikli araçlar, şarj edilebilir hibrit elektrikli araçlar ve yakıt hücreli elektrikli araçlar</w:t>
      </w:r>
      <w:r w:rsidR="00BC4799" w:rsidRPr="00C543FD">
        <w:rPr>
          <w:rStyle w:val="Gl"/>
        </w:rPr>
        <w:t xml:space="preserve">, </w:t>
      </w:r>
      <w:r w:rsidR="00BC4799" w:rsidRPr="00C543FD">
        <w:rPr>
          <w:rStyle w:val="Gl"/>
          <w:rFonts w:eastAsiaTheme="majorEastAsia"/>
        </w:rPr>
        <w:t>güneş fotovoltaik (PV) teknolojileri ile kritik hammaddelerin çıkarılması, işlenmesi ve geri dönüşümüne yönelik imalat yatırımları</w:t>
      </w:r>
      <w:r>
        <w:rPr>
          <w:rStyle w:val="Gl"/>
          <w:rFonts w:eastAsiaTheme="majorEastAsia"/>
          <w:b w:val="0"/>
          <w:bCs w:val="0"/>
        </w:rPr>
        <w:t xml:space="preserve"> olarak</w:t>
      </w:r>
      <w:r w:rsidR="00C54189">
        <w:rPr>
          <w:rStyle w:val="Gl"/>
          <w:rFonts w:eastAsiaTheme="majorEastAsia"/>
          <w:b w:val="0"/>
          <w:bCs w:val="0"/>
        </w:rPr>
        <w:t xml:space="preserve"> belirlenmiştir.</w:t>
      </w:r>
    </w:p>
    <w:p w14:paraId="08EC29E5" w14:textId="77777777" w:rsidR="00C54189" w:rsidRDefault="00C54189" w:rsidP="00C54189">
      <w:pPr>
        <w:pStyle w:val="NormalWeb"/>
        <w:spacing w:before="0" w:beforeAutospacing="0" w:after="0" w:afterAutospacing="0"/>
        <w:jc w:val="both"/>
        <w:rPr>
          <w:rStyle w:val="Gl"/>
          <w:rFonts w:eastAsiaTheme="majorEastAsia"/>
          <w:b w:val="0"/>
          <w:bCs w:val="0"/>
        </w:rPr>
      </w:pPr>
    </w:p>
    <w:p w14:paraId="1E44F88E" w14:textId="14F6FFAB" w:rsidR="00BC4799" w:rsidRPr="00492FD8" w:rsidRDefault="001B43AD" w:rsidP="00C54189">
      <w:pPr>
        <w:pStyle w:val="NormalWeb"/>
        <w:spacing w:before="0" w:beforeAutospacing="0" w:after="0" w:afterAutospacing="0"/>
        <w:jc w:val="both"/>
        <w:rPr>
          <w:b/>
          <w:bCs/>
          <w:highlight w:val="green"/>
        </w:rPr>
      </w:pPr>
      <w:r w:rsidRPr="00934C07">
        <w:rPr>
          <w:rStyle w:val="Gl"/>
          <w:rFonts w:eastAsiaTheme="majorEastAsia"/>
          <w:b w:val="0"/>
          <w:bCs w:val="0"/>
        </w:rPr>
        <w:t xml:space="preserve">Bu hükmün istisnası olarak, </w:t>
      </w:r>
      <w:r w:rsidRPr="00934C07">
        <w:rPr>
          <w:rFonts w:eastAsiaTheme="majorEastAsia"/>
        </w:rPr>
        <w:t xml:space="preserve">Birliğin yürürlükte olan veya geçici olarak uygulanan serbest ticaret ve ekonomik ortaklık anlaşmaları kapsamındaki yatırımcı ve yatırımları (AB’deki bağlı ortaklıklar dâhil), hizmet sunumuna yönelik yatırımlara ve portföy yatırımları </w:t>
      </w:r>
      <w:r w:rsidRPr="00C54189">
        <w:rPr>
          <w:rFonts w:eastAsiaTheme="majorEastAsia"/>
        </w:rPr>
        <w:t>belirlenmiş</w:t>
      </w:r>
      <w:r w:rsidR="00237FD0" w:rsidRPr="00C54189">
        <w:rPr>
          <w:rFonts w:eastAsiaTheme="majorEastAsia"/>
        </w:rPr>
        <w:t>tir.</w:t>
      </w:r>
      <w:r w:rsidRPr="00C54189">
        <w:rPr>
          <w:rFonts w:eastAsiaTheme="majorEastAsia"/>
        </w:rPr>
        <w:t xml:space="preserve"> </w:t>
      </w:r>
      <w:r w:rsidR="00467DDA" w:rsidRPr="00934C07">
        <w:rPr>
          <w:rFonts w:eastAsiaTheme="majorEastAsia"/>
          <w:u w:val="single"/>
        </w:rPr>
        <w:t>GATS kapsamında tanımlanan hizmet sunumuna yönelik yatırımlara ilişkin istisna hükmü çıkarılmış olup, bu durum hizmet yatırımlarının da düzenleme kapsamına girebileceğine</w:t>
      </w:r>
      <w:r w:rsidR="00467DDA" w:rsidRPr="00934C07">
        <w:rPr>
          <w:rFonts w:eastAsiaTheme="majorEastAsia"/>
        </w:rPr>
        <w:t xml:space="preserve"> işaret etmektedir.</w:t>
      </w:r>
    </w:p>
    <w:p w14:paraId="73FC70DE" w14:textId="77777777" w:rsidR="00BC4799" w:rsidRDefault="00BC4799" w:rsidP="00BC4799">
      <w:pPr>
        <w:pStyle w:val="NormalWeb"/>
        <w:spacing w:before="0" w:beforeAutospacing="0" w:after="0" w:afterAutospacing="0"/>
        <w:ind w:left="720"/>
        <w:jc w:val="both"/>
        <w:rPr>
          <w:b/>
          <w:bCs/>
        </w:rPr>
      </w:pPr>
    </w:p>
    <w:p w14:paraId="3F83ADE4" w14:textId="53C03DE5" w:rsidR="002F2AF2" w:rsidRDefault="0088555D" w:rsidP="00C54189">
      <w:pPr>
        <w:pStyle w:val="NormalWeb"/>
        <w:spacing w:before="0" w:beforeAutospacing="0" w:after="0" w:afterAutospacing="0"/>
        <w:jc w:val="both"/>
      </w:pPr>
      <w:r w:rsidRPr="0088555D">
        <w:t xml:space="preserve">Üye devletler tarafından bir </w:t>
      </w:r>
      <w:r w:rsidRPr="0088555D">
        <w:rPr>
          <w:b/>
          <w:bCs/>
        </w:rPr>
        <w:t>yatırım otoritesi</w:t>
      </w:r>
      <w:r w:rsidRPr="0088555D">
        <w:t xml:space="preserve"> kurulması öngörülmekte olup, bu otoritelerin yabancı doğrudan yatırımları onaylarken yatırımın en az</w:t>
      </w:r>
      <w:r w:rsidR="006069D7">
        <w:t xml:space="preserve"> </w:t>
      </w:r>
      <w:r w:rsidR="006069D7" w:rsidRPr="00C54189">
        <w:t>dört</w:t>
      </w:r>
      <w:r w:rsidRPr="00C54189">
        <w:t xml:space="preserve"> </w:t>
      </w:r>
      <w:r w:rsidRPr="0088555D">
        <w:t xml:space="preserve"> koşulu karşılamasını arayacağı düzenlenmektedir; buna göre (1) yabancı yatırımcının kontrol payının %49’u aşmaması, (2) yatırımların AB’li ortaklarla ortak girişim şeklinde ve etkin teknoloji transferi ile gerçekleştirilmesi, (3) fikri mülkiyet ve </w:t>
      </w:r>
      <w:proofErr w:type="spellStart"/>
      <w:r w:rsidRPr="0088555D">
        <w:t>know-how’ın</w:t>
      </w:r>
      <w:proofErr w:type="spellEnd"/>
      <w:r w:rsidRPr="0088555D">
        <w:t xml:space="preserve"> AB’deki varlıklara lisanslanması, (4) AB içinde Ar-</w:t>
      </w:r>
      <w:proofErr w:type="spellStart"/>
      <w:r w:rsidRPr="0088555D">
        <w:t>Ge</w:t>
      </w:r>
      <w:proofErr w:type="spellEnd"/>
      <w:r w:rsidRPr="0088555D">
        <w:t xml:space="preserve"> harcaması yapılması (en az %1 ciro oranında), (5) iş gücünün en az %50’sinin AB çalışanlarından oluşması ve istihdamın korunması, (6)</w:t>
      </w:r>
      <w:r w:rsidR="00537D94">
        <w:t xml:space="preserve"> </w:t>
      </w:r>
      <w:r w:rsidR="00537D94" w:rsidRPr="00C54189">
        <w:t>üretim girdilerin Birlik ülkelerinden temin edilmesine öncelik stratejisi hazırlanması ve en az %30’unun Birlikten temin edilmesinin hedeflenmesi</w:t>
      </w:r>
      <w:r w:rsidRPr="00C54189">
        <w:t xml:space="preserve"> </w:t>
      </w:r>
      <w:r w:rsidRPr="00537D94">
        <w:t>öngörülmektedir.</w:t>
      </w:r>
    </w:p>
    <w:p w14:paraId="26C6AAD3" w14:textId="77777777" w:rsidR="003C4634" w:rsidRDefault="003C4634" w:rsidP="00C54189">
      <w:pPr>
        <w:pStyle w:val="NormalWeb"/>
        <w:spacing w:before="0" w:beforeAutospacing="0" w:after="0" w:afterAutospacing="0"/>
        <w:jc w:val="both"/>
      </w:pPr>
    </w:p>
    <w:p w14:paraId="5BC05DB9" w14:textId="77777777" w:rsidR="00A74EDE" w:rsidRPr="003E2DF3" w:rsidRDefault="003C4634" w:rsidP="00C54189">
      <w:pPr>
        <w:pStyle w:val="NormalWeb"/>
        <w:spacing w:before="0" w:beforeAutospacing="0" w:after="0" w:afterAutospacing="0"/>
        <w:jc w:val="both"/>
      </w:pPr>
      <w:r w:rsidRPr="003E2DF3">
        <w:t xml:space="preserve">Ayrıca, Madde 19 kapsamında planlanan yabancı doğrudan yatırımlar için bir </w:t>
      </w:r>
      <w:r w:rsidRPr="003E2DF3">
        <w:rPr>
          <w:b/>
          <w:bCs/>
        </w:rPr>
        <w:t>ön bildirim yükümlülüğü</w:t>
      </w:r>
      <w:r w:rsidRPr="003E2DF3">
        <w:t xml:space="preserve"> öngörülmekte olup, bu yükümlülük yatırımın Birlikte bulunan hedef işletme veya varlık üzerinde </w:t>
      </w:r>
      <w:r w:rsidRPr="003E2DF3">
        <w:rPr>
          <w:b/>
          <w:bCs/>
        </w:rPr>
        <w:t>kontrol sağlayacak düzeye ulaşması</w:t>
      </w:r>
      <w:r w:rsidRPr="003E2DF3">
        <w:t xml:space="preserve"> halinde uygulanmaktadır.</w:t>
      </w:r>
    </w:p>
    <w:p w14:paraId="0B8471D5" w14:textId="0BBD3FFF" w:rsidR="00A74EDE" w:rsidRPr="003E2DF3" w:rsidRDefault="00A74EDE" w:rsidP="00A74EDE">
      <w:pPr>
        <w:pStyle w:val="NormalWeb"/>
        <w:jc w:val="both"/>
      </w:pPr>
      <w:r w:rsidRPr="003E2DF3">
        <w:t>Bu çerçevede, bir yatırımın kontrol sağladığı ve dolayısıyla bildirilmesi gerektiği durumlar şu eşiklerle tanımlanmıştır:</w:t>
      </w:r>
    </w:p>
    <w:p w14:paraId="730FC28E" w14:textId="29CD9A5C" w:rsidR="00A74EDE" w:rsidRPr="003E2DF3" w:rsidRDefault="00A74EDE" w:rsidP="00A74EDE">
      <w:pPr>
        <w:pStyle w:val="NormalWeb"/>
        <w:numPr>
          <w:ilvl w:val="0"/>
          <w:numId w:val="18"/>
        </w:numPr>
        <w:spacing w:before="0" w:beforeAutospacing="0" w:after="0" w:afterAutospacing="0"/>
        <w:jc w:val="both"/>
      </w:pPr>
      <w:r w:rsidRPr="003E2DF3">
        <w:t>Birlikte yerleşik hedef işletmede yabancı yatırımcının</w:t>
      </w:r>
      <w:r w:rsidRPr="003E2DF3">
        <w:rPr>
          <w:b/>
          <w:bCs/>
        </w:rPr>
        <w:t xml:space="preserve"> %30 veya daha fazla</w:t>
      </w:r>
      <w:r w:rsidRPr="003E2DF3">
        <w:t xml:space="preserve"> sermaye payı veya oy hakkına sahip olması</w:t>
      </w:r>
    </w:p>
    <w:p w14:paraId="3EA7BB0C" w14:textId="4FA7951C" w:rsidR="00A74EDE" w:rsidRPr="003E2DF3" w:rsidRDefault="00A74EDE" w:rsidP="00A74EDE">
      <w:pPr>
        <w:pStyle w:val="NormalWeb"/>
        <w:numPr>
          <w:ilvl w:val="0"/>
          <w:numId w:val="18"/>
        </w:numPr>
        <w:spacing w:before="0" w:beforeAutospacing="0" w:after="0" w:afterAutospacing="0"/>
        <w:jc w:val="both"/>
      </w:pPr>
      <w:r w:rsidRPr="003E2DF3">
        <w:lastRenderedPageBreak/>
        <w:t>Birlik varlığında yabancı yatırımcının</w:t>
      </w:r>
      <w:r w:rsidRPr="003E2DF3">
        <w:rPr>
          <w:b/>
          <w:bCs/>
        </w:rPr>
        <w:t xml:space="preserve"> %30 veya daha fazla</w:t>
      </w:r>
      <w:r w:rsidRPr="003E2DF3">
        <w:t xml:space="preserve"> mülkiyet hakkı veya kontrol sağlayan kiralama/diğer hakların elde edilmesi</w:t>
      </w:r>
    </w:p>
    <w:p w14:paraId="2D258009" w14:textId="77777777" w:rsidR="00A74EDE" w:rsidRPr="003E2DF3" w:rsidRDefault="00A74EDE" w:rsidP="00C54189">
      <w:pPr>
        <w:pStyle w:val="NormalWeb"/>
        <w:spacing w:before="0" w:beforeAutospacing="0" w:after="0" w:afterAutospacing="0"/>
        <w:jc w:val="both"/>
      </w:pPr>
    </w:p>
    <w:p w14:paraId="02E61B61" w14:textId="0D7DC7E4" w:rsidR="003C4634" w:rsidRPr="003E2DF3" w:rsidRDefault="003C4634" w:rsidP="00C54189">
      <w:pPr>
        <w:pStyle w:val="NormalWeb"/>
        <w:spacing w:before="0" w:beforeAutospacing="0" w:after="0" w:afterAutospacing="0"/>
        <w:jc w:val="both"/>
      </w:pPr>
      <w:r w:rsidRPr="003E2DF3">
        <w:t xml:space="preserve">Önceki taslakta %20 olarak öngörülen bu eşik değerin %30’a yükseltilmesi, </w:t>
      </w:r>
      <w:r w:rsidR="00A74EDE" w:rsidRPr="003E2DF3">
        <w:t xml:space="preserve">düzenlemenin </w:t>
      </w:r>
      <w:r w:rsidR="00A74EDE" w:rsidRPr="003E2DF3">
        <w:rPr>
          <w:b/>
          <w:bCs/>
        </w:rPr>
        <w:t>görece daha esnek hale getirildiğini göstermektedir.</w:t>
      </w:r>
      <w:r w:rsidR="00A74EDE" w:rsidRPr="003E2DF3">
        <w:t xml:space="preserve"> Bu değişiklikle, daha düşük paylı yatırımlar bildirim ve inceleme yükümlülüğü dışında kalacak, dolayısıyla </w:t>
      </w:r>
      <w:r w:rsidR="00A74EDE" w:rsidRPr="003E2DF3">
        <w:rPr>
          <w:b/>
          <w:bCs/>
        </w:rPr>
        <w:t>düzenlemenin kapsamı daralırken yatırım üzerindeki kısıtlayıcı etki bir ölçüde azaltılmış olacaktır.</w:t>
      </w:r>
      <w:r w:rsidRPr="003E2DF3">
        <w:t xml:space="preserve"> </w:t>
      </w:r>
    </w:p>
    <w:p w14:paraId="44DD2B09" w14:textId="77777777" w:rsidR="00F15AAC" w:rsidRDefault="00F15AAC" w:rsidP="0088555D">
      <w:pPr>
        <w:pStyle w:val="NormalWeb"/>
        <w:spacing w:before="0" w:beforeAutospacing="0" w:after="0" w:afterAutospacing="0"/>
        <w:ind w:left="720"/>
        <w:jc w:val="both"/>
      </w:pPr>
    </w:p>
    <w:p w14:paraId="28EECA7E" w14:textId="4B00B4B1" w:rsidR="00C54189" w:rsidRPr="00C54189" w:rsidRDefault="00C54189" w:rsidP="00C54189">
      <w:pPr>
        <w:pStyle w:val="NormalWeb"/>
        <w:numPr>
          <w:ilvl w:val="0"/>
          <w:numId w:val="10"/>
        </w:numPr>
        <w:spacing w:before="0" w:beforeAutospacing="0" w:after="0" w:afterAutospacing="0"/>
        <w:jc w:val="both"/>
      </w:pPr>
      <w:r w:rsidRPr="00F15AAC">
        <w:rPr>
          <w:b/>
          <w:bCs/>
        </w:rPr>
        <w:t>Sanayi Üretim Hızlandırma Alanı</w:t>
      </w:r>
    </w:p>
    <w:p w14:paraId="0D9E7F9A" w14:textId="77777777" w:rsidR="00C54189" w:rsidRDefault="00C54189" w:rsidP="00C54189">
      <w:pPr>
        <w:pStyle w:val="NormalWeb"/>
        <w:jc w:val="both"/>
      </w:pPr>
      <w:r w:rsidRPr="00C54189">
        <w:t xml:space="preserve">Üye devletlerin, stratejik sektörlerde üretimi hızlandırmak amacıyla en az bir “sanayi üretim hızlandırma alanı” belirlemesi öngörülmekte olup bu sektörler mevzuatın ekinde (EK I) </w:t>
      </w:r>
      <w:r w:rsidRPr="00C54189">
        <w:rPr>
          <w:b/>
          <w:bCs/>
        </w:rPr>
        <w:t>kağıt, kok ve rafine petrol, kimyasal ve kimyasal ürünler, kauçuk ve plastik ürünler, inşaat malzemeleri, çimento, cam, seramik ve mineral esaslı ürünler, demir- çelik ve alüminyum gibi demir-dışı metaller gibi enerji yoğun sanayi sektörleri, otomotiv ve Net-Sıfır Sanayi Yasası kapsamındaki teknolojile</w:t>
      </w:r>
      <w:r w:rsidRPr="00C54189">
        <w:t>r olarak belirlenmiştir.</w:t>
      </w:r>
    </w:p>
    <w:p w14:paraId="25A2BF6B" w14:textId="33149061" w:rsidR="00C54189" w:rsidRDefault="003F1B4E" w:rsidP="00C54189">
      <w:pPr>
        <w:pStyle w:val="NormalWeb"/>
        <w:jc w:val="both"/>
      </w:pPr>
      <w:r>
        <w:t>B</w:t>
      </w:r>
      <w:r w:rsidR="00C54189" w:rsidRPr="00C54189">
        <w:t xml:space="preserve">u alanların tedarik güvenliği, değer zincirlerinin güçlendirilmesi ve </w:t>
      </w:r>
      <w:proofErr w:type="spellStart"/>
      <w:r w:rsidR="00C54189" w:rsidRPr="00C54189">
        <w:t>dekarbonizasyon</w:t>
      </w:r>
      <w:proofErr w:type="spellEnd"/>
      <w:r w:rsidR="00C54189" w:rsidRPr="00C54189">
        <w:t xml:space="preserve"> hedeflerine katkı sağlayacak şekilde planlanması ve söz konusu alanlarda yatırım, altyapı, finansman ve izin süreçlerinin kolaylaştırılarak sanayi faaliyetlerinin hızlandırılması öngörülmektedir.</w:t>
      </w:r>
    </w:p>
    <w:p w14:paraId="799B1D8A" w14:textId="5769F097" w:rsidR="00C54189" w:rsidRPr="00C54189" w:rsidRDefault="00C54189" w:rsidP="00C54189">
      <w:pPr>
        <w:pStyle w:val="NormalWeb"/>
        <w:numPr>
          <w:ilvl w:val="0"/>
          <w:numId w:val="10"/>
        </w:numPr>
        <w:jc w:val="both"/>
        <w:rPr>
          <w:b/>
          <w:bCs/>
        </w:rPr>
      </w:pPr>
      <w:r w:rsidRPr="00C54189">
        <w:rPr>
          <w:b/>
          <w:bCs/>
        </w:rPr>
        <w:t>Net Sıfır Sanayi Yasası</w:t>
      </w:r>
    </w:p>
    <w:p w14:paraId="3AF3145C" w14:textId="77777777" w:rsidR="00C54189" w:rsidRDefault="00C54189" w:rsidP="00C54189">
      <w:pPr>
        <w:pStyle w:val="NormalWeb"/>
        <w:jc w:val="both"/>
      </w:pPr>
      <w:r>
        <w:t xml:space="preserve">Sanayi Hızlandırma Yasası Taslağı, 2024/1735 sayılı AB Net Sıfır Sanayi Yasasını tamamlayıcı nitelikte değişikler içermektedir.  Net Sıfır Sanayi Yasası, net-sıfır teknoloji üretim projeleri için idari ve izin süreçlerini kolaylaştıran hükümler içermekte; enerji yoğun sanayilerin </w:t>
      </w:r>
      <w:proofErr w:type="spellStart"/>
      <w:r>
        <w:t>karbonsuzlaştırılmasına</w:t>
      </w:r>
      <w:proofErr w:type="spellEnd"/>
      <w:r>
        <w:t xml:space="preserve"> yönelik projeler, ilgili tesislerin net-sıfır teknolojilerinin tedarik zincirinin bir parçası olan bileşenleri üretmesi durumunda söz konusu mevzuatın kapsamında girmektedir. </w:t>
      </w:r>
    </w:p>
    <w:p w14:paraId="3C876E46" w14:textId="085C1FC3" w:rsidR="00C54189" w:rsidRDefault="00C54189" w:rsidP="00C54189">
      <w:pPr>
        <w:pStyle w:val="NormalWeb"/>
        <w:jc w:val="both"/>
      </w:pPr>
      <w:r>
        <w:t xml:space="preserve">Sanayi Hızlandırma Yasası Taslağı ise bu uygulamaları yalnızca net sıfır teknolojilerin tedarik zincirindeki tesislerle sınırlı tutmadan tüm enerji yoğun sanayi </w:t>
      </w:r>
      <w:proofErr w:type="spellStart"/>
      <w:r>
        <w:t>dekarbonizasyon</w:t>
      </w:r>
      <w:proofErr w:type="spellEnd"/>
      <w:r>
        <w:t xml:space="preserve"> projelerini de kapsayacak şekilde revize edilmesini önermektedir. </w:t>
      </w:r>
    </w:p>
    <w:p w14:paraId="68D1EE3B" w14:textId="22A2362D" w:rsidR="00312264" w:rsidRDefault="00C54189" w:rsidP="00C54189">
      <w:pPr>
        <w:pStyle w:val="NormalWeb"/>
        <w:jc w:val="both"/>
      </w:pPr>
      <w:r>
        <w:t xml:space="preserve">Taslak ile Net Sıfır Sanayi Yasasının kamu alım prosedürleri, ihaleleri ve kamu destek programları kapsamında, </w:t>
      </w:r>
      <w:r w:rsidRPr="00312264">
        <w:rPr>
          <w:b/>
          <w:bCs/>
        </w:rPr>
        <w:t xml:space="preserve">batarya enerji depolama sistemleri, güneş fotovoltaik sistemleri, ısı pompaları, </w:t>
      </w:r>
      <w:proofErr w:type="gramStart"/>
      <w:r w:rsidRPr="00312264">
        <w:rPr>
          <w:b/>
          <w:bCs/>
        </w:rPr>
        <w:t>rüzgar</w:t>
      </w:r>
      <w:proofErr w:type="gramEnd"/>
      <w:r w:rsidRPr="00312264">
        <w:rPr>
          <w:b/>
          <w:bCs/>
        </w:rPr>
        <w:t xml:space="preserve"> enerjisi, elektrolizörler ve nükleer teknolojiler</w:t>
      </w:r>
      <w:r>
        <w:t xml:space="preserve"> için </w:t>
      </w:r>
      <w:r w:rsidRPr="00312264">
        <w:rPr>
          <w:u w:val="single"/>
        </w:rPr>
        <w:t>Birlik menşei</w:t>
      </w:r>
      <w:r>
        <w:t xml:space="preserve"> kriterlerinin uygulanması öngörülmektedir. </w:t>
      </w:r>
    </w:p>
    <w:p w14:paraId="71ED5872" w14:textId="7ABA31F3" w:rsidR="004B637D" w:rsidRPr="00AE2340" w:rsidRDefault="004B637D" w:rsidP="00C54189">
      <w:pPr>
        <w:pStyle w:val="NormalWeb"/>
        <w:jc w:val="both"/>
        <w:rPr>
          <w:b/>
          <w:bCs/>
          <w:u w:val="single"/>
        </w:rPr>
      </w:pPr>
      <w:r w:rsidRPr="00AE2340">
        <w:rPr>
          <w:b/>
          <w:bCs/>
          <w:u w:val="single"/>
        </w:rPr>
        <w:t>Kamu Alımlarında Birlik Menşei Gereklilikleri:</w:t>
      </w:r>
    </w:p>
    <w:p w14:paraId="7D49663E" w14:textId="77777777" w:rsidR="004B637D" w:rsidRPr="00AE2340" w:rsidRDefault="004B637D" w:rsidP="004B637D">
      <w:pPr>
        <w:pStyle w:val="NormalWeb"/>
        <w:numPr>
          <w:ilvl w:val="0"/>
          <w:numId w:val="20"/>
        </w:numPr>
        <w:jc w:val="both"/>
      </w:pPr>
      <w:r w:rsidRPr="00AE2340">
        <w:rPr>
          <w:b/>
          <w:bCs/>
        </w:rPr>
        <w:t>Batarya enerji depolama sistemleri</w:t>
      </w:r>
      <w:r w:rsidRPr="00AE2340">
        <w:t xml:space="preserve"> için, düzenlemenin yürürlüğe girmesinden itibaren birinci yıldan üçüncü yıla kadar sistemlerin Birlik menşeli olması ve 1 </w:t>
      </w:r>
      <w:proofErr w:type="spellStart"/>
      <w:r w:rsidRPr="00AE2340">
        <w:t>MWh</w:t>
      </w:r>
      <w:proofErr w:type="spellEnd"/>
      <w:r w:rsidRPr="00AE2340">
        <w:t xml:space="preserve"> üzeri projelerde Birlik menşeli bir batarya yönetim sistemi içermesi gerekecektir. Üçüncü yıldan itibaren ise sistemlerin Birlik menşeli olması ve Birlik menşeli batarya hücreleri, batarya yönetim sistemi ile birlikte en az bir ek ana bileşeni içermesi şartı getirilmektedir.</w:t>
      </w:r>
    </w:p>
    <w:p w14:paraId="4F585DB0" w14:textId="77777777" w:rsidR="004B637D" w:rsidRPr="00AE2340" w:rsidRDefault="004B637D" w:rsidP="004B637D">
      <w:pPr>
        <w:pStyle w:val="NormalWeb"/>
        <w:numPr>
          <w:ilvl w:val="0"/>
          <w:numId w:val="20"/>
        </w:numPr>
        <w:jc w:val="both"/>
      </w:pPr>
      <w:r w:rsidRPr="00AE2340">
        <w:rPr>
          <w:b/>
          <w:bCs/>
        </w:rPr>
        <w:lastRenderedPageBreak/>
        <w:t>Güneş fotovoltaik teknolojileri</w:t>
      </w:r>
      <w:r w:rsidRPr="00AE2340">
        <w:t xml:space="preserve"> için, yürürlüğe girişten üç yıl sonra PV invertörü ile PV hücrelerinin veya eşdeğer bileşenlerin Birlik menşeli olması gerekecektir.</w:t>
      </w:r>
    </w:p>
    <w:p w14:paraId="174FDB18" w14:textId="1C9AFC86" w:rsidR="004B637D" w:rsidRPr="00AE2340" w:rsidRDefault="004B637D" w:rsidP="004B637D">
      <w:pPr>
        <w:pStyle w:val="NormalWeb"/>
        <w:numPr>
          <w:ilvl w:val="0"/>
          <w:numId w:val="20"/>
        </w:numPr>
        <w:jc w:val="both"/>
      </w:pPr>
      <w:r w:rsidRPr="00AE2340">
        <w:rPr>
          <w:b/>
          <w:bCs/>
        </w:rPr>
        <w:t>Hidro</w:t>
      </w:r>
      <w:r w:rsidR="00C157C5" w:rsidRPr="00AE2340">
        <w:rPr>
          <w:b/>
          <w:bCs/>
        </w:rPr>
        <w:t>l</w:t>
      </w:r>
      <w:r w:rsidRPr="00AE2340">
        <w:rPr>
          <w:b/>
          <w:bCs/>
        </w:rPr>
        <w:t>ik ısı pompaları</w:t>
      </w:r>
      <w:r w:rsidRPr="00AE2340">
        <w:t xml:space="preserve"> bakımından, yürürlüğe girişten üç yıl sonra söz konusu ekipmanın Birlik menşeli olması şartı uygulanacaktır.</w:t>
      </w:r>
    </w:p>
    <w:p w14:paraId="4636DD62" w14:textId="7D82CDA8" w:rsidR="004B637D" w:rsidRPr="00AE2340" w:rsidRDefault="004B637D" w:rsidP="004B637D">
      <w:pPr>
        <w:pStyle w:val="NormalWeb"/>
        <w:numPr>
          <w:ilvl w:val="0"/>
          <w:numId w:val="20"/>
        </w:numPr>
        <w:jc w:val="both"/>
      </w:pPr>
      <w:r w:rsidRPr="00AE2340">
        <w:rPr>
          <w:b/>
          <w:bCs/>
        </w:rPr>
        <w:t xml:space="preserve">Kara ve deniz üstü </w:t>
      </w:r>
      <w:proofErr w:type="gramStart"/>
      <w:r w:rsidRPr="00AE2340">
        <w:rPr>
          <w:b/>
          <w:bCs/>
        </w:rPr>
        <w:t>rüzg</w:t>
      </w:r>
      <w:r w:rsidR="00C36699" w:rsidRPr="00AE2340">
        <w:rPr>
          <w:b/>
          <w:bCs/>
        </w:rPr>
        <w:t>a</w:t>
      </w:r>
      <w:r w:rsidRPr="00AE2340">
        <w:rPr>
          <w:b/>
          <w:bCs/>
        </w:rPr>
        <w:t>r</w:t>
      </w:r>
      <w:proofErr w:type="gramEnd"/>
      <w:r w:rsidRPr="00AE2340">
        <w:rPr>
          <w:b/>
          <w:bCs/>
        </w:rPr>
        <w:t xml:space="preserve"> teknolojileri</w:t>
      </w:r>
      <w:r w:rsidRPr="00AE2340">
        <w:t xml:space="preserve"> için, yürürlüğe girişten birinci yıldan üçüncü yıla kadar en az bir ana bileşenin Birlik menşeli olması; üçüncü yıldan itibaren ise en az iki ana bileşenin Birlik menşeli olması gerekecektir.</w:t>
      </w:r>
    </w:p>
    <w:p w14:paraId="13C12A3B" w14:textId="5FB88E45" w:rsidR="004B637D" w:rsidRPr="00AE2340" w:rsidRDefault="004B637D" w:rsidP="004B637D">
      <w:pPr>
        <w:pStyle w:val="NormalWeb"/>
        <w:numPr>
          <w:ilvl w:val="0"/>
          <w:numId w:val="20"/>
        </w:numPr>
        <w:jc w:val="both"/>
      </w:pPr>
      <w:r w:rsidRPr="00AE2340">
        <w:rPr>
          <w:b/>
          <w:bCs/>
        </w:rPr>
        <w:t xml:space="preserve">Nükleer </w:t>
      </w:r>
      <w:proofErr w:type="spellStart"/>
      <w:r w:rsidRPr="00AE2340">
        <w:rPr>
          <w:b/>
          <w:bCs/>
        </w:rPr>
        <w:t>fisyon</w:t>
      </w:r>
      <w:proofErr w:type="spellEnd"/>
      <w:r w:rsidRPr="00AE2340">
        <w:rPr>
          <w:b/>
          <w:bCs/>
        </w:rPr>
        <w:t xml:space="preserve"> teknolojileri</w:t>
      </w:r>
      <w:r w:rsidRPr="00AE2340">
        <w:t xml:space="preserve"> kapsamında ise yeni nükleer santral (küçük modüler reaktörler dahil) inşasını içeren kamu alımlarında, yürürlüğe girişten dört yıl sonra en az iki ana bileşenin, altı yıl sonra ise en az üç ana bileşenin Birlik menşeli olması şartı getirilmektedir. Bununla birlikte, nükleer enerji santrallerinin ilk endüstriyel uygulamasını içeren araştırma, geliştirme ve yenilik projeleri bu yükümlülükten muaf tutulmaktadır.</w:t>
      </w:r>
    </w:p>
    <w:p w14:paraId="285D34EF" w14:textId="380AA5FE" w:rsidR="004B637D" w:rsidRPr="00AE2340" w:rsidRDefault="004B637D" w:rsidP="004B637D">
      <w:pPr>
        <w:pStyle w:val="NormalWeb"/>
        <w:jc w:val="both"/>
        <w:rPr>
          <w:b/>
          <w:bCs/>
          <w:u w:val="single"/>
        </w:rPr>
      </w:pPr>
      <w:r w:rsidRPr="00AE2340">
        <w:rPr>
          <w:b/>
          <w:bCs/>
          <w:u w:val="single"/>
        </w:rPr>
        <w:t xml:space="preserve">İhalelerde Birlik Menşei Gereklilikleri: </w:t>
      </w:r>
    </w:p>
    <w:p w14:paraId="16549D8D" w14:textId="2BA72F0C" w:rsidR="004B637D" w:rsidRPr="00AE2340" w:rsidRDefault="00C36699" w:rsidP="00C36699">
      <w:pPr>
        <w:pStyle w:val="NormalWeb"/>
        <w:numPr>
          <w:ilvl w:val="0"/>
          <w:numId w:val="22"/>
        </w:numPr>
        <w:jc w:val="both"/>
      </w:pPr>
      <w:r w:rsidRPr="00AE2340">
        <w:rPr>
          <w:b/>
          <w:bCs/>
        </w:rPr>
        <w:t>Batarya enerji depolama sistemleri</w:t>
      </w:r>
      <w:r w:rsidRPr="00AE2340">
        <w:t xml:space="preserve">, </w:t>
      </w:r>
      <w:r w:rsidRPr="00AE2340">
        <w:rPr>
          <w:b/>
          <w:bCs/>
        </w:rPr>
        <w:t>güneş fotovoltaik teknolojileri</w:t>
      </w:r>
      <w:r w:rsidRPr="00AE2340">
        <w:t xml:space="preserve"> ve </w:t>
      </w:r>
      <w:r w:rsidR="00B65D15" w:rsidRPr="00AE2340">
        <w:rPr>
          <w:b/>
          <w:bCs/>
        </w:rPr>
        <w:t>k</w:t>
      </w:r>
      <w:r w:rsidRPr="00AE2340">
        <w:rPr>
          <w:b/>
          <w:bCs/>
        </w:rPr>
        <w:t xml:space="preserve">ara ve deniz üstü </w:t>
      </w:r>
      <w:proofErr w:type="gramStart"/>
      <w:r w:rsidRPr="00AE2340">
        <w:rPr>
          <w:b/>
          <w:bCs/>
        </w:rPr>
        <w:t>rüzgar</w:t>
      </w:r>
      <w:proofErr w:type="gramEnd"/>
      <w:r w:rsidRPr="00AE2340">
        <w:rPr>
          <w:b/>
          <w:bCs/>
        </w:rPr>
        <w:t xml:space="preserve"> teknolojileri</w:t>
      </w:r>
      <w:r w:rsidRPr="00AE2340">
        <w:t xml:space="preserve"> için ihale mekanizmalarında uygulanacak Birlik menşei kriterleri kamu alımlarında öngörülen kriterler ile aynı olacaktır.</w:t>
      </w:r>
    </w:p>
    <w:p w14:paraId="4500F7DD" w14:textId="112B6537" w:rsidR="00C36699" w:rsidRPr="00AE2340" w:rsidRDefault="00C36699" w:rsidP="00C36699">
      <w:pPr>
        <w:pStyle w:val="NormalWeb"/>
        <w:numPr>
          <w:ilvl w:val="0"/>
          <w:numId w:val="22"/>
        </w:numPr>
        <w:jc w:val="both"/>
      </w:pPr>
      <w:r w:rsidRPr="00AE2340">
        <w:rPr>
          <w:b/>
          <w:bCs/>
        </w:rPr>
        <w:t>Yenilenebilir hidrojen üretimi</w:t>
      </w:r>
      <w:r w:rsidRPr="00AE2340">
        <w:t xml:space="preserve"> bakımından ise, ihaleler kapsamında desteklenen projelerde kullanılan elektrolizörler için Birlik menşei kriterleri öngörülmektedir. </w:t>
      </w:r>
      <w:r w:rsidR="00485B38" w:rsidRPr="00AE2340">
        <w:t>Buna göre, düzenlemenin yürürlüğe girmesinden bir yıl sonra başlayarak üçüncü yıla kadar elektrolizörün en az bir ana özgül bileşeninin Birlik menşeli olması, üçüncü yıldan itibaren ise en az iki ana özgül bileşenin Birlik menşeli olması gerekecektir.</w:t>
      </w:r>
    </w:p>
    <w:p w14:paraId="0DCE1D98" w14:textId="713DD8D0" w:rsidR="0013105F" w:rsidRPr="00AE2340" w:rsidRDefault="0013105F" w:rsidP="0013105F">
      <w:pPr>
        <w:pStyle w:val="NormalWeb"/>
        <w:jc w:val="both"/>
        <w:rPr>
          <w:b/>
          <w:bCs/>
          <w:u w:val="single"/>
        </w:rPr>
      </w:pPr>
      <w:r w:rsidRPr="00AE2340">
        <w:rPr>
          <w:b/>
          <w:bCs/>
          <w:u w:val="single"/>
        </w:rPr>
        <w:t>Kamu Destek Programlarında Birlik Menşei Gereklilikleri:</w:t>
      </w:r>
    </w:p>
    <w:p w14:paraId="327508EF" w14:textId="2FA6202A" w:rsidR="0013105F" w:rsidRPr="00AE2340" w:rsidRDefault="0013105F" w:rsidP="0013105F">
      <w:pPr>
        <w:pStyle w:val="NormalWeb"/>
        <w:numPr>
          <w:ilvl w:val="0"/>
          <w:numId w:val="23"/>
        </w:numPr>
        <w:jc w:val="both"/>
      </w:pPr>
      <w:r w:rsidRPr="00AE2340">
        <w:rPr>
          <w:b/>
          <w:bCs/>
        </w:rPr>
        <w:t xml:space="preserve">Batarya enerji depolama sistemleri, güneş fotovoltaik teknolojileri ve </w:t>
      </w:r>
      <w:proofErr w:type="spellStart"/>
      <w:r w:rsidRPr="00AE2340">
        <w:rPr>
          <w:b/>
          <w:bCs/>
        </w:rPr>
        <w:t>hidronik</w:t>
      </w:r>
      <w:proofErr w:type="spellEnd"/>
      <w:r w:rsidRPr="00AE2340">
        <w:rPr>
          <w:b/>
          <w:bCs/>
        </w:rPr>
        <w:t xml:space="preserve"> ısı pompaları </w:t>
      </w:r>
      <w:r w:rsidRPr="00AE2340">
        <w:t>için kamu destek mekanizmalarında Birlik menşei kriterlerinin uygulanabilmesi öngörülmektedir. Birlik menşei kriterleri, kamu alımlarında öngörülen kriterler ile aynı olacaktır.</w:t>
      </w:r>
    </w:p>
    <w:p w14:paraId="56C316B6" w14:textId="3E887244" w:rsidR="003710E0" w:rsidRPr="00AE2340" w:rsidRDefault="003710E0" w:rsidP="003710E0">
      <w:pPr>
        <w:pStyle w:val="NormalWeb"/>
        <w:jc w:val="both"/>
        <w:rPr>
          <w:b/>
          <w:bCs/>
          <w:u w:val="single"/>
        </w:rPr>
      </w:pPr>
      <w:r w:rsidRPr="00AE2340">
        <w:rPr>
          <w:b/>
          <w:bCs/>
          <w:u w:val="single"/>
        </w:rPr>
        <w:t>Üye Devletlerin sıfır net emisyonlu teknolojilerin inşasına veya üretimine yönelik desteği</w:t>
      </w:r>
    </w:p>
    <w:p w14:paraId="73B396E2" w14:textId="4E6B3BD3" w:rsidR="00CD5B92" w:rsidRPr="00AE2340" w:rsidRDefault="00356431" w:rsidP="00C54189">
      <w:pPr>
        <w:pStyle w:val="NormalWeb"/>
        <w:jc w:val="both"/>
        <w:rPr>
          <w:b/>
          <w:bCs/>
        </w:rPr>
      </w:pPr>
      <w:r w:rsidRPr="00AE2340">
        <w:t xml:space="preserve">Üye Devletlerin net-sıfır teknolojilerinin inşası ve üretimine yönelik desteklerinde de Birlik menşei kriterlerinin uygulanması öngörülmektedir. Bu kapsamda, </w:t>
      </w:r>
      <w:r w:rsidRPr="00AE2340">
        <w:rPr>
          <w:b/>
          <w:bCs/>
        </w:rPr>
        <w:t>elektrolizörler ve nükleer teknolojiler</w:t>
      </w:r>
      <w:r w:rsidRPr="00AE2340">
        <w:t xml:space="preserve"> bakımından öngörülen kriterler, bileşen bazlı yaklaşım ve kademeli geçiş süreleri itibarıyla yukarıda belirtilen düzenlemeler ile büyük ölçüde paralellik göstermektedir. Bununla birlikte, söz konusu destek mekanizmaları bakımından “Birlik ile eşdeğer </w:t>
      </w:r>
      <w:proofErr w:type="spellStart"/>
      <w:r w:rsidRPr="00AE2340">
        <w:t>menşei”ne</w:t>
      </w:r>
      <w:proofErr w:type="spellEnd"/>
      <w:r w:rsidRPr="00AE2340">
        <w:t xml:space="preserve"> ilişkin hükümlere açık bir atıf yapılmamış olup, </w:t>
      </w:r>
      <w:r w:rsidR="00AE5D60" w:rsidRPr="00AE2340">
        <w:rPr>
          <w:b/>
          <w:bCs/>
        </w:rPr>
        <w:t>ülkemiz menşeili</w:t>
      </w:r>
      <w:r w:rsidRPr="00AE2340">
        <w:rPr>
          <w:b/>
          <w:bCs/>
        </w:rPr>
        <w:t xml:space="preserve"> ürünlerin bu kapsamda </w:t>
      </w:r>
      <w:r w:rsidR="00AE5D60" w:rsidRPr="00AE2340">
        <w:rPr>
          <w:b/>
          <w:bCs/>
        </w:rPr>
        <w:t>sayılmayacağı anlaşılmaktadır.</w:t>
      </w:r>
    </w:p>
    <w:p w14:paraId="7B8EBE30" w14:textId="3D84D393" w:rsidR="00C54189" w:rsidRDefault="006762DE" w:rsidP="00C54189">
      <w:pPr>
        <w:pStyle w:val="NormalWeb"/>
        <w:jc w:val="both"/>
      </w:pPr>
      <w:r w:rsidRPr="00AE2340">
        <w:t>Kamu alım prosedürleri, ihaleleri ve kamu destek programları</w:t>
      </w:r>
      <w:r w:rsidRPr="006762DE">
        <w:rPr>
          <w:color w:val="FF0000"/>
        </w:rPr>
        <w:t xml:space="preserve"> </w:t>
      </w:r>
      <w:r>
        <w:t>için s</w:t>
      </w:r>
      <w:r w:rsidR="00C54189">
        <w:t xml:space="preserve">öz konusu prosedürlerde Birlik menşei Birlik kaynaklı içerik olarak tanımlanmakta; </w:t>
      </w:r>
      <w:r w:rsidR="00C54189" w:rsidRPr="00312264">
        <w:rPr>
          <w:b/>
          <w:bCs/>
        </w:rPr>
        <w:t>Birlik ile eşdeğer menşeli içerik tanımı</w:t>
      </w:r>
      <w:r w:rsidR="00C54189">
        <w:t xml:space="preserve"> ise yine benzer şekilde Birlik ile serbest ticaret anlaşması, gümrük birliği veya kamu alımları alanında ikili anlaşması olan üçüncü ülkelerden gelen içerik olarak tanımlanmıştır.</w:t>
      </w:r>
    </w:p>
    <w:p w14:paraId="3DA30373" w14:textId="77777777" w:rsidR="00C157C5" w:rsidRDefault="00C157C5" w:rsidP="00C54189">
      <w:pPr>
        <w:pStyle w:val="NormalWeb"/>
        <w:jc w:val="both"/>
      </w:pPr>
    </w:p>
    <w:p w14:paraId="08E20DC5" w14:textId="049C1438" w:rsidR="00FC6D3D" w:rsidRPr="00AE2340" w:rsidRDefault="00FC6D3D" w:rsidP="00FC6D3D">
      <w:pPr>
        <w:pStyle w:val="NormalWeb"/>
        <w:numPr>
          <w:ilvl w:val="0"/>
          <w:numId w:val="10"/>
        </w:numPr>
        <w:jc w:val="both"/>
        <w:rPr>
          <w:b/>
          <w:bCs/>
        </w:rPr>
      </w:pPr>
      <w:r w:rsidRPr="00AE2340">
        <w:rPr>
          <w:b/>
          <w:bCs/>
        </w:rPr>
        <w:lastRenderedPageBreak/>
        <w:t>Yapı Malzemeleri Tüzüğü</w:t>
      </w:r>
    </w:p>
    <w:p w14:paraId="56FCEB11" w14:textId="40E275A9" w:rsidR="00FC6D3D" w:rsidRPr="00AE2340" w:rsidRDefault="00227A2A" w:rsidP="00FC6D3D">
      <w:pPr>
        <w:pStyle w:val="NormalWeb"/>
        <w:jc w:val="both"/>
      </w:pPr>
      <w:r w:rsidRPr="00AE2340">
        <w:t xml:space="preserve">2024/3110 sayılı Yapı Malzemeleri Tüzüğü, Komisyona, bir ürünün tüketiciler tarafından tipik olarak seçilmesi ve yaşam döngüsü boyunca genel çevresel performansının kurulumuna bağlı olarak farklılık göstermemesi koşuluyla, belirli ürün kategorileri ve inşaat ürünleri için çevresel sürdürülebilirlik etiketleme gerekliliklerini belirlemek üzere yetki devrine dayanan mevzuat çıkarma yetkisi vermektedir.   </w:t>
      </w:r>
    </w:p>
    <w:p w14:paraId="46EDA24F" w14:textId="31C81910" w:rsidR="008331C4" w:rsidRPr="00AE2340" w:rsidRDefault="008331C4" w:rsidP="00FC6D3D">
      <w:pPr>
        <w:pStyle w:val="NormalWeb"/>
        <w:jc w:val="both"/>
      </w:pPr>
      <w:r w:rsidRPr="00AE2340">
        <w:t xml:space="preserve">Ancak Sanayi Hızlandırma Yasası Taslağı, söz konusu koşulların Komisyon’un özellikle nihai tüketiciye doğrudan satılmayan ürünler için etiketleme gereklilikleri belirlemesini sınırladığı gerekçesiyle bu hükmün revize edilmesini öngörmektedir. Bu çerçevede, Komisyon’un belirli ürün aileleri ve kategorileri için çevresel sürdürülebilirlik etiketleme gereklilikleri belirleme yetkisi, </w:t>
      </w:r>
      <w:r w:rsidRPr="00AE2340">
        <w:rPr>
          <w:b/>
          <w:bCs/>
        </w:rPr>
        <w:t>herhangi bir ek koşula bağlı olmaksızın genişletilmektedir.</w:t>
      </w:r>
    </w:p>
    <w:p w14:paraId="1651A65E" w14:textId="640B5407" w:rsidR="00312264" w:rsidRDefault="00312264" w:rsidP="009543A8">
      <w:pPr>
        <w:pStyle w:val="NormalWeb"/>
        <w:jc w:val="both"/>
        <w:rPr>
          <w:b/>
          <w:bCs/>
        </w:rPr>
      </w:pPr>
      <w:bookmarkStart w:id="2" w:name="_Hlk223362030"/>
      <w:r w:rsidRPr="00312264">
        <w:rPr>
          <w:b/>
          <w:bCs/>
        </w:rPr>
        <w:t>TASLAK EKLERİ</w:t>
      </w:r>
    </w:p>
    <w:p w14:paraId="4BCE9A91" w14:textId="0F1E695E" w:rsidR="00312264" w:rsidRDefault="00312264" w:rsidP="009543A8">
      <w:pPr>
        <w:pStyle w:val="NormalWeb"/>
        <w:jc w:val="both"/>
        <w:rPr>
          <w:b/>
          <w:bCs/>
        </w:rPr>
      </w:pPr>
      <w:r>
        <w:rPr>
          <w:b/>
          <w:bCs/>
        </w:rPr>
        <w:t>EK I</w:t>
      </w:r>
    </w:p>
    <w:p w14:paraId="1F855C75" w14:textId="77777777" w:rsidR="00B702F1" w:rsidRPr="003E2DF3" w:rsidRDefault="00B702F1" w:rsidP="00B702F1">
      <w:pPr>
        <w:pStyle w:val="NormalWeb"/>
        <w:jc w:val="both"/>
      </w:pPr>
      <w:r w:rsidRPr="003E2DF3">
        <w:t>Ek I, sanayi üretim hızlandırma alanları için sektörlerin listesini içermektedir. Buna göre sektörler aşağıdaki üç kategori altında tanımlanmaktadır.</w:t>
      </w:r>
    </w:p>
    <w:p w14:paraId="05A92A56" w14:textId="77777777" w:rsidR="00B702F1" w:rsidRPr="003E2DF3" w:rsidRDefault="00B702F1" w:rsidP="00B702F1">
      <w:pPr>
        <w:pStyle w:val="NormalWeb"/>
        <w:jc w:val="both"/>
        <w:rPr>
          <w:b/>
          <w:bCs/>
        </w:rPr>
      </w:pPr>
      <w:r w:rsidRPr="003E2DF3">
        <w:rPr>
          <w:b/>
          <w:bCs/>
        </w:rPr>
        <w:t>1. Enerji yoğun sektörler</w:t>
      </w:r>
    </w:p>
    <w:p w14:paraId="0B87EA7D" w14:textId="1FF3D1C3" w:rsidR="00B702F1" w:rsidRPr="003E2DF3" w:rsidRDefault="00B702F1" w:rsidP="00B702F1">
      <w:pPr>
        <w:pStyle w:val="NormalWeb"/>
        <w:numPr>
          <w:ilvl w:val="0"/>
          <w:numId w:val="19"/>
        </w:numPr>
        <w:jc w:val="both"/>
      </w:pPr>
      <w:proofErr w:type="gramStart"/>
      <w:r w:rsidRPr="003E2DF3">
        <w:t>Kağıt</w:t>
      </w:r>
      <w:proofErr w:type="gramEnd"/>
      <w:r w:rsidRPr="003E2DF3">
        <w:t xml:space="preserve"> ve </w:t>
      </w:r>
      <w:proofErr w:type="gramStart"/>
      <w:r w:rsidRPr="003E2DF3">
        <w:t>kağıt</w:t>
      </w:r>
      <w:proofErr w:type="gramEnd"/>
      <w:r w:rsidRPr="003E2DF3">
        <w:t xml:space="preserve"> ürünleri imalatı </w:t>
      </w:r>
    </w:p>
    <w:p w14:paraId="34DD787B" w14:textId="1A1DB186" w:rsidR="00B702F1" w:rsidRPr="003E2DF3" w:rsidRDefault="00B702F1" w:rsidP="00B702F1">
      <w:pPr>
        <w:pStyle w:val="NormalWeb"/>
        <w:numPr>
          <w:ilvl w:val="0"/>
          <w:numId w:val="19"/>
        </w:numPr>
        <w:jc w:val="both"/>
      </w:pPr>
      <w:r w:rsidRPr="003E2DF3">
        <w:t>Kok ve rafine petrol ürünleri imalatı</w:t>
      </w:r>
    </w:p>
    <w:p w14:paraId="61E4BF66" w14:textId="778DE882" w:rsidR="00B702F1" w:rsidRPr="003E2DF3" w:rsidRDefault="00B702F1" w:rsidP="00B702F1">
      <w:pPr>
        <w:pStyle w:val="NormalWeb"/>
        <w:numPr>
          <w:ilvl w:val="0"/>
          <w:numId w:val="19"/>
        </w:numPr>
        <w:jc w:val="both"/>
      </w:pPr>
      <w:r w:rsidRPr="003E2DF3">
        <w:t>Kimyasallar ve kimyasal ürünler imalatı</w:t>
      </w:r>
    </w:p>
    <w:p w14:paraId="53FA293F" w14:textId="77777777" w:rsidR="00B702F1" w:rsidRPr="003E2DF3" w:rsidRDefault="00B702F1" w:rsidP="00B702F1">
      <w:pPr>
        <w:pStyle w:val="NormalWeb"/>
        <w:numPr>
          <w:ilvl w:val="0"/>
          <w:numId w:val="19"/>
        </w:numPr>
        <w:jc w:val="both"/>
      </w:pPr>
      <w:r w:rsidRPr="003E2DF3">
        <w:t>Kauçuk ve plastik ürünler imalatı</w:t>
      </w:r>
    </w:p>
    <w:p w14:paraId="74CC79C4" w14:textId="77777777" w:rsidR="00B702F1" w:rsidRPr="003E2DF3" w:rsidRDefault="00B702F1" w:rsidP="00B702F1">
      <w:pPr>
        <w:pStyle w:val="NormalWeb"/>
        <w:numPr>
          <w:ilvl w:val="0"/>
          <w:numId w:val="19"/>
        </w:numPr>
        <w:jc w:val="both"/>
      </w:pPr>
      <w:r w:rsidRPr="003E2DF3">
        <w:t xml:space="preserve">Diğer metalik olmayan mineral ürünlerin imalatı </w:t>
      </w:r>
    </w:p>
    <w:p w14:paraId="3850DEEE" w14:textId="77777777" w:rsidR="00B702F1" w:rsidRPr="003E2DF3" w:rsidRDefault="00B702F1" w:rsidP="00043422">
      <w:pPr>
        <w:pStyle w:val="NormalWeb"/>
        <w:numPr>
          <w:ilvl w:val="0"/>
          <w:numId w:val="19"/>
        </w:numPr>
        <w:jc w:val="both"/>
      </w:pPr>
      <w:r w:rsidRPr="003E2DF3">
        <w:t xml:space="preserve">Temel metallerin imalatı </w:t>
      </w:r>
    </w:p>
    <w:p w14:paraId="1E20210E" w14:textId="2F8BFF79" w:rsidR="00B702F1" w:rsidRPr="003E2DF3" w:rsidRDefault="00B702F1" w:rsidP="00B702F1">
      <w:pPr>
        <w:pStyle w:val="NormalWeb"/>
        <w:jc w:val="both"/>
      </w:pPr>
      <w:r w:rsidRPr="003E2DF3">
        <w:t xml:space="preserve">2. </w:t>
      </w:r>
      <w:r w:rsidRPr="003E2DF3">
        <w:rPr>
          <w:b/>
          <w:bCs/>
        </w:rPr>
        <w:t>Otomotiv sanayii</w:t>
      </w:r>
      <w:r w:rsidRPr="003E2DF3">
        <w:t xml:space="preserve"> motorlu kara taşıtları, römork ve yarı römork imalatı </w:t>
      </w:r>
    </w:p>
    <w:p w14:paraId="69669B63" w14:textId="59BB9C7F" w:rsidR="00B702F1" w:rsidRPr="003E2DF3" w:rsidRDefault="00B702F1" w:rsidP="009543A8">
      <w:pPr>
        <w:pStyle w:val="NormalWeb"/>
        <w:jc w:val="both"/>
      </w:pPr>
      <w:r w:rsidRPr="003E2DF3">
        <w:t xml:space="preserve">3. 2024/1735 (Net Sıfır Sanayi Yasası) sayılı Tüzüğün 4(1) maddesinde atıf yapılan </w:t>
      </w:r>
      <w:r w:rsidRPr="003E2DF3">
        <w:rPr>
          <w:b/>
          <w:bCs/>
        </w:rPr>
        <w:t>net-sıfır teknolojiler</w:t>
      </w:r>
    </w:p>
    <w:p w14:paraId="189F5057" w14:textId="5D3F6A76" w:rsidR="00312264" w:rsidRPr="00312264" w:rsidRDefault="00312264" w:rsidP="009543A8">
      <w:pPr>
        <w:pStyle w:val="NormalWeb"/>
        <w:jc w:val="both"/>
        <w:rPr>
          <w:b/>
          <w:bCs/>
        </w:rPr>
      </w:pPr>
      <w:r>
        <w:rPr>
          <w:b/>
          <w:bCs/>
        </w:rPr>
        <w:t>EK II</w:t>
      </w:r>
    </w:p>
    <w:p w14:paraId="36DBCE5A" w14:textId="77777777" w:rsidR="00312264" w:rsidRPr="00312264" w:rsidRDefault="00312264" w:rsidP="00312264">
      <w:pPr>
        <w:pStyle w:val="NormalWeb"/>
        <w:jc w:val="both"/>
      </w:pPr>
      <w:r w:rsidRPr="00312264">
        <w:t xml:space="preserve">EK II Bölüm </w:t>
      </w:r>
      <w:proofErr w:type="spellStart"/>
      <w:r w:rsidRPr="00312264">
        <w:t>I’e</w:t>
      </w:r>
      <w:proofErr w:type="spellEnd"/>
      <w:r w:rsidRPr="00312264">
        <w:t xml:space="preserve"> göre ise </w:t>
      </w:r>
      <w:r w:rsidRPr="00312264">
        <w:rPr>
          <w:b/>
          <w:bCs/>
        </w:rPr>
        <w:t>1 Ocak 2029 itibariyle</w:t>
      </w:r>
      <w:r w:rsidRPr="00312264">
        <w:t xml:space="preserve"> kamu alım prosedürleri kapsamında sözleşmelerin enerji yoğun sektörlerden ürün tedariki içermesi halinde aşağıdaki asgari oranlar uygulanacaktır:</w:t>
      </w:r>
    </w:p>
    <w:p w14:paraId="29882545" w14:textId="77777777" w:rsidR="00312264" w:rsidRPr="00312264" w:rsidRDefault="00312264" w:rsidP="007A1CBE">
      <w:pPr>
        <w:pStyle w:val="NormalWeb"/>
        <w:numPr>
          <w:ilvl w:val="0"/>
          <w:numId w:val="6"/>
        </w:numPr>
        <w:jc w:val="both"/>
      </w:pPr>
      <w:r w:rsidRPr="00312264">
        <w:t xml:space="preserve">Bina, altyapı ve otomotivde kullanılan </w:t>
      </w:r>
      <w:r w:rsidRPr="00312264">
        <w:rPr>
          <w:b/>
          <w:bCs/>
        </w:rPr>
        <w:t>çelikte</w:t>
      </w:r>
      <w:r w:rsidRPr="00312264">
        <w:t xml:space="preserve"> toplam hacmin </w:t>
      </w:r>
      <w:r w:rsidRPr="00312264">
        <w:rPr>
          <w:b/>
          <w:bCs/>
        </w:rPr>
        <w:t>en az %25’i düşük karbonlu</w:t>
      </w:r>
      <w:r w:rsidRPr="00312264">
        <w:t xml:space="preserve"> olacaktır.</w:t>
      </w:r>
    </w:p>
    <w:p w14:paraId="670A81FC" w14:textId="36A49B3B" w:rsidR="00312264" w:rsidRPr="00312264" w:rsidRDefault="00312264" w:rsidP="007A1CBE">
      <w:pPr>
        <w:pStyle w:val="NormalWeb"/>
        <w:numPr>
          <w:ilvl w:val="0"/>
          <w:numId w:val="6"/>
        </w:numPr>
        <w:jc w:val="both"/>
      </w:pPr>
      <w:r w:rsidRPr="00312264">
        <w:t xml:space="preserve">Bina, altyapılarda kullanılan </w:t>
      </w:r>
      <w:r w:rsidRPr="00312264">
        <w:rPr>
          <w:b/>
          <w:bCs/>
        </w:rPr>
        <w:t>beton ve harçta</w:t>
      </w:r>
      <w:r w:rsidRPr="00312264">
        <w:t xml:space="preserve"> toplam </w:t>
      </w:r>
      <w:proofErr w:type="gramStart"/>
      <w:r w:rsidRPr="00312264">
        <w:t xml:space="preserve">hacmin </w:t>
      </w:r>
      <w:r>
        <w:t xml:space="preserve"> </w:t>
      </w:r>
      <w:r w:rsidRPr="00312264">
        <w:t>(</w:t>
      </w:r>
      <w:proofErr w:type="gramEnd"/>
      <w:r w:rsidRPr="00312264">
        <w:t xml:space="preserve">bunların üretiminde kullanılan </w:t>
      </w:r>
      <w:r w:rsidRPr="00312264">
        <w:rPr>
          <w:b/>
          <w:bCs/>
        </w:rPr>
        <w:t xml:space="preserve">klinker ve çimento dahil </w:t>
      </w:r>
      <w:r w:rsidRPr="00312264">
        <w:t xml:space="preserve">olmak üzere) en az </w:t>
      </w:r>
      <w:r w:rsidRPr="00312264">
        <w:rPr>
          <w:b/>
          <w:bCs/>
        </w:rPr>
        <w:t>%5’i düşük karbonlu ve Birlik menşeli</w:t>
      </w:r>
      <w:r w:rsidRPr="00312264">
        <w:t xml:space="preserve"> olacaktır.</w:t>
      </w:r>
    </w:p>
    <w:p w14:paraId="69A1BE9B" w14:textId="299AF5FA" w:rsidR="00312264" w:rsidRDefault="00312264" w:rsidP="007A1CBE">
      <w:pPr>
        <w:pStyle w:val="NormalWeb"/>
        <w:numPr>
          <w:ilvl w:val="0"/>
          <w:numId w:val="6"/>
        </w:numPr>
        <w:jc w:val="both"/>
        <w:rPr>
          <w:b/>
          <w:bCs/>
        </w:rPr>
      </w:pPr>
      <w:r w:rsidRPr="00312264">
        <w:t xml:space="preserve">Bina, altyapı ve otomotivde kullanılan </w:t>
      </w:r>
      <w:r w:rsidRPr="00312264">
        <w:rPr>
          <w:b/>
          <w:bCs/>
        </w:rPr>
        <w:t>alüminyumda</w:t>
      </w:r>
      <w:r w:rsidRPr="00312264">
        <w:t xml:space="preserve"> toplam hacmin en az </w:t>
      </w:r>
      <w:r w:rsidRPr="00312264">
        <w:rPr>
          <w:b/>
          <w:bCs/>
        </w:rPr>
        <w:t>%25’i düşük karbonlu ve Birlik menşeli olacaktır.</w:t>
      </w:r>
    </w:p>
    <w:p w14:paraId="771D6987" w14:textId="68529DDF" w:rsidR="00E23113" w:rsidRPr="00226C38" w:rsidRDefault="00E23113" w:rsidP="00E23113">
      <w:pPr>
        <w:pStyle w:val="NormalWeb"/>
        <w:jc w:val="both"/>
      </w:pPr>
      <w:r w:rsidRPr="00226C38">
        <w:lastRenderedPageBreak/>
        <w:t xml:space="preserve">EK II Bölüm II kapsamında ise, 1 Ocak 2029 itibarıyla kamu destek programlarında yukarıda yer alan benzer teknik kriterler uygulanacaktır. Bu çerçevede, söz konusu desteklerden yararlanabilmek için çelik, beton/harç ve alüminyumun yukarıda belirtilen aynı düşük karbon ve Birlik menşei oranlarını karşılaması gerekecektir. </w:t>
      </w:r>
    </w:p>
    <w:p w14:paraId="0D38EF64" w14:textId="74798A25" w:rsidR="007A1CBE" w:rsidRPr="00312264" w:rsidRDefault="007A1CBE" w:rsidP="007A1CBE">
      <w:pPr>
        <w:pStyle w:val="NormalWeb"/>
        <w:jc w:val="both"/>
        <w:rPr>
          <w:b/>
          <w:bCs/>
        </w:rPr>
      </w:pPr>
      <w:r>
        <w:rPr>
          <w:b/>
          <w:bCs/>
        </w:rPr>
        <w:t>EK III</w:t>
      </w:r>
    </w:p>
    <w:p w14:paraId="708071E9" w14:textId="38DB51E3" w:rsidR="00312264" w:rsidRPr="00312264" w:rsidRDefault="00312264" w:rsidP="00312264">
      <w:pPr>
        <w:pStyle w:val="NormalWeb"/>
        <w:jc w:val="both"/>
      </w:pPr>
      <w:r w:rsidRPr="00312264">
        <w:t xml:space="preserve">EK III Bölüm </w:t>
      </w:r>
      <w:proofErr w:type="spellStart"/>
      <w:r w:rsidRPr="00312264">
        <w:t>I’e</w:t>
      </w:r>
      <w:proofErr w:type="spellEnd"/>
      <w:r w:rsidRPr="00312264">
        <w:t xml:space="preserve"> göre ise </w:t>
      </w:r>
      <w:r w:rsidRPr="00312264">
        <w:rPr>
          <w:b/>
          <w:bCs/>
        </w:rPr>
        <w:t>elektrikli araçlar (PEV), şarj edilebilir hibrit araçlar (OVC-HEV) ve yakıt hücreli araçların (FCV)</w:t>
      </w:r>
      <w:r w:rsidRPr="00312264">
        <w:t xml:space="preserve"> kamu alımı, leasing işlemleri, kiralamalarına konu olması halinde Birlik menşei gereklilikleri düzenlenmektedir. Söz konusu hüküm </w:t>
      </w:r>
      <w:r w:rsidRPr="00312264">
        <w:rPr>
          <w:b/>
          <w:bCs/>
        </w:rPr>
        <w:t>mevzuat yürürlüğe girdikten 6 ay sonra</w:t>
      </w:r>
      <w:r w:rsidRPr="00312264">
        <w:t xml:space="preserve"> uygulanacaktır. Birlik menşei şartının karşılanması için:</w:t>
      </w:r>
    </w:p>
    <w:p w14:paraId="0A9EE2B8" w14:textId="77777777" w:rsidR="00312264" w:rsidRPr="00312264" w:rsidRDefault="00312264" w:rsidP="00312264">
      <w:pPr>
        <w:pStyle w:val="NormalWeb"/>
        <w:numPr>
          <w:ilvl w:val="0"/>
          <w:numId w:val="12"/>
        </w:numPr>
      </w:pPr>
      <w:r w:rsidRPr="00312264">
        <w:t>Araç Birlik içinde monte edilmiş olmalıdır.</w:t>
      </w:r>
    </w:p>
    <w:p w14:paraId="0C6C760D" w14:textId="77777777" w:rsidR="00EB347C" w:rsidRPr="00312264" w:rsidRDefault="00EB347C" w:rsidP="00312264">
      <w:pPr>
        <w:pStyle w:val="NormalWeb"/>
        <w:numPr>
          <w:ilvl w:val="0"/>
          <w:numId w:val="12"/>
        </w:numPr>
        <w:rPr>
          <w:b/>
          <w:bCs/>
        </w:rPr>
      </w:pPr>
      <w:r w:rsidRPr="00312264">
        <w:t xml:space="preserve">Batarya hariç olmak üzere, </w:t>
      </w:r>
      <w:bookmarkStart w:id="3" w:name="_Hlk223603544"/>
      <w:r w:rsidRPr="00312264">
        <w:rPr>
          <w:b/>
          <w:bCs/>
        </w:rPr>
        <w:t>Birlik menşeli araç bileşenlerinin</w:t>
      </w:r>
      <w:r w:rsidRPr="00312264">
        <w:t xml:space="preserve"> toplam fabrika çıkış </w:t>
      </w:r>
      <w:bookmarkEnd w:id="3"/>
      <w:r w:rsidRPr="00312264">
        <w:t xml:space="preserve">fiyatının, batarya hariç tüm araç bileşenlerinin </w:t>
      </w:r>
      <w:r w:rsidRPr="00312264">
        <w:rPr>
          <w:b/>
          <w:bCs/>
        </w:rPr>
        <w:t>toplam fabrika çıkış fiyatına oranı en az %70 olmalıdır.</w:t>
      </w:r>
    </w:p>
    <w:p w14:paraId="37F995F5" w14:textId="77777777" w:rsidR="00EB347C" w:rsidRPr="00312264" w:rsidRDefault="00EB347C" w:rsidP="00312264">
      <w:pPr>
        <w:pStyle w:val="NormalWeb"/>
        <w:numPr>
          <w:ilvl w:val="0"/>
          <w:numId w:val="12"/>
        </w:numPr>
        <w:rPr>
          <w:b/>
          <w:bCs/>
        </w:rPr>
      </w:pPr>
      <w:r w:rsidRPr="00312264">
        <w:t xml:space="preserve">Aracın çekiş bataryasında, batarya hücreleri dahil olmak üzere </w:t>
      </w:r>
      <w:r w:rsidRPr="00312264">
        <w:rPr>
          <w:b/>
          <w:bCs/>
        </w:rPr>
        <w:t>en az üç ana batarya bileşeni Birlik menşeli olmalıdır.</w:t>
      </w:r>
    </w:p>
    <w:p w14:paraId="7CFAAB8C" w14:textId="77777777" w:rsidR="00EB347C" w:rsidRPr="00312264" w:rsidRDefault="00EB347C" w:rsidP="00312264">
      <w:pPr>
        <w:pStyle w:val="NormalWeb"/>
        <w:numPr>
          <w:ilvl w:val="0"/>
          <w:numId w:val="12"/>
        </w:numPr>
      </w:pPr>
      <w:r w:rsidRPr="00312264">
        <w:t xml:space="preserve">Aracın çekiş bataryasında, batarya hücreleri, katot aktif malzemesi ve batarya yönetim sistemi dahil olmak üzere </w:t>
      </w:r>
      <w:r w:rsidRPr="00312264">
        <w:rPr>
          <w:b/>
          <w:bCs/>
        </w:rPr>
        <w:t>en az beş ana batarya bileşeni Birlik menşeli</w:t>
      </w:r>
      <w:r w:rsidRPr="00312264">
        <w:t xml:space="preserve"> olmalıdır.</w:t>
      </w:r>
    </w:p>
    <w:p w14:paraId="37940801" w14:textId="77777777" w:rsidR="00EB347C" w:rsidRPr="00312264" w:rsidRDefault="00EB347C" w:rsidP="00312264">
      <w:pPr>
        <w:pStyle w:val="NormalWeb"/>
        <w:numPr>
          <w:ilvl w:val="0"/>
          <w:numId w:val="12"/>
        </w:numPr>
        <w:rPr>
          <w:b/>
          <w:bCs/>
        </w:rPr>
      </w:pPr>
      <w:r w:rsidRPr="00312264">
        <w:rPr>
          <w:b/>
          <w:bCs/>
        </w:rPr>
        <w:t>Birlik menşeli e-güç aktarma sistemi</w:t>
      </w:r>
      <w:r w:rsidRPr="00312264">
        <w:t xml:space="preserve"> (e-</w:t>
      </w:r>
      <w:proofErr w:type="spellStart"/>
      <w:r w:rsidRPr="00312264">
        <w:t>powertrain</w:t>
      </w:r>
      <w:proofErr w:type="spellEnd"/>
      <w:r w:rsidRPr="00312264">
        <w:t xml:space="preserve">) bileşenlerinin toplam fabrika çıkış fiyatının, tüm e-güç aktarma sistemi bileşenlerinin toplam fabrika çıkış fiyatına </w:t>
      </w:r>
      <w:r w:rsidRPr="00312264">
        <w:rPr>
          <w:b/>
          <w:bCs/>
        </w:rPr>
        <w:t>oranı en az %50 olmalıdır.</w:t>
      </w:r>
    </w:p>
    <w:p w14:paraId="4206E387" w14:textId="78D00E09" w:rsidR="00312264" w:rsidRPr="00312264" w:rsidRDefault="00EB347C" w:rsidP="00312264">
      <w:pPr>
        <w:pStyle w:val="NormalWeb"/>
        <w:numPr>
          <w:ilvl w:val="0"/>
          <w:numId w:val="12"/>
        </w:numPr>
      </w:pPr>
      <w:r w:rsidRPr="00312264">
        <w:rPr>
          <w:b/>
          <w:bCs/>
        </w:rPr>
        <w:t>Birlik menşeli ana elektronik sistemlerin</w:t>
      </w:r>
      <w:r w:rsidRPr="00312264">
        <w:t xml:space="preserve"> toplam fabrika çıkış fiyatının, tüm ana elektronik sistemlerin </w:t>
      </w:r>
      <w:r w:rsidRPr="00312264">
        <w:rPr>
          <w:b/>
          <w:bCs/>
        </w:rPr>
        <w:t>toplam fabrika çıkış fiyatına oranı %50’ye eşit</w:t>
      </w:r>
      <w:r w:rsidRPr="00312264">
        <w:t xml:space="preserve"> veya daha yüksek olmalıdır.</w:t>
      </w:r>
    </w:p>
    <w:p w14:paraId="29E7E63D" w14:textId="60B7692D" w:rsidR="00312264" w:rsidRPr="00312264" w:rsidRDefault="00312264" w:rsidP="00312264">
      <w:pPr>
        <w:pStyle w:val="NormalWeb"/>
        <w:jc w:val="both"/>
      </w:pPr>
      <w:r w:rsidRPr="00312264">
        <w:t>(</w:t>
      </w:r>
      <w:proofErr w:type="gramStart"/>
      <w:r w:rsidRPr="00312264">
        <w:t>d</w:t>
      </w:r>
      <w:proofErr w:type="gramEnd"/>
      <w:r w:rsidRPr="00312264">
        <w:t>), (</w:t>
      </w:r>
      <w:proofErr w:type="gramStart"/>
      <w:r w:rsidRPr="00312264">
        <w:t>e )</w:t>
      </w:r>
      <w:proofErr w:type="gramEnd"/>
      <w:r w:rsidRPr="00312264">
        <w:t xml:space="preserve"> ve (f) bentleri mevzuat yürürlüğe girdikten 3 sene sona uygulanacaktır.</w:t>
      </w:r>
    </w:p>
    <w:p w14:paraId="6B0A3465" w14:textId="7594F836" w:rsidR="00312264" w:rsidRPr="00226C38" w:rsidRDefault="00312264" w:rsidP="00312264">
      <w:pPr>
        <w:pStyle w:val="NormalWeb"/>
        <w:jc w:val="both"/>
      </w:pPr>
      <w:r w:rsidRPr="00226C38">
        <w:t>Küçük elektrikli araçların ise Birlik menşei şartını karşılamak için</w:t>
      </w:r>
      <w:r w:rsidR="009621C1" w:rsidRPr="00226C38">
        <w:t xml:space="preserve"> aracın </w:t>
      </w:r>
      <w:r w:rsidR="009621C1" w:rsidRPr="00226C38">
        <w:rPr>
          <w:b/>
          <w:bCs/>
        </w:rPr>
        <w:t>Birlik içinde monte edilmiş olması şartının</w:t>
      </w:r>
      <w:r w:rsidR="009621C1" w:rsidRPr="00226C38">
        <w:t xml:space="preserve"> yanı sıra</w:t>
      </w:r>
      <w:r w:rsidRPr="00226C38">
        <w:t xml:space="preserve"> </w:t>
      </w:r>
      <w:r w:rsidRPr="00226C38">
        <w:rPr>
          <w:u w:val="single"/>
        </w:rPr>
        <w:t>aşağıdaki şartlardan birini</w:t>
      </w:r>
      <w:r w:rsidRPr="00226C38">
        <w:t xml:space="preserve"> karşılaması gerekecektir.</w:t>
      </w:r>
    </w:p>
    <w:p w14:paraId="0188F690" w14:textId="77777777" w:rsidR="00312264" w:rsidRPr="00312264" w:rsidRDefault="00312264" w:rsidP="00312264">
      <w:pPr>
        <w:pStyle w:val="NormalWeb"/>
        <w:numPr>
          <w:ilvl w:val="0"/>
          <w:numId w:val="13"/>
        </w:numPr>
      </w:pPr>
      <w:r w:rsidRPr="00312264">
        <w:t>Batarya hariç olmak üzere Birlik menşeli araç bileşenlerinin toplam fabrika çıkış fiyatının, batarya hariç tüm araç bileşenlerinin toplam fabrika çıkış fiyatına oranı %70’e eşit veya %70’ten yüksek olmalıdır;</w:t>
      </w:r>
    </w:p>
    <w:p w14:paraId="75466F4C" w14:textId="538063A5" w:rsidR="00312264" w:rsidRPr="00312264" w:rsidRDefault="00312264" w:rsidP="00312264">
      <w:pPr>
        <w:pStyle w:val="NormalWeb"/>
        <w:numPr>
          <w:ilvl w:val="0"/>
          <w:numId w:val="14"/>
        </w:numPr>
      </w:pPr>
      <w:r w:rsidRPr="00312264">
        <w:t>Aracın çekiş bataryasında, batarya hücreleri dahil olmak üzere en az üç ana batarya bileşeni Birlik menşeli olmalıdır.</w:t>
      </w:r>
    </w:p>
    <w:p w14:paraId="74D513EF" w14:textId="6F031584" w:rsidR="00312264" w:rsidRPr="009621C1" w:rsidRDefault="00312264" w:rsidP="009621C1">
      <w:pPr>
        <w:pStyle w:val="NormalWeb"/>
        <w:jc w:val="both"/>
      </w:pPr>
      <w:r w:rsidRPr="00312264">
        <w:t>Öte yandan, eğer bir üretici, önceki yıl AB’de sattığı elektrikli/</w:t>
      </w:r>
      <w:proofErr w:type="spellStart"/>
      <w:r w:rsidRPr="00312264">
        <w:t>plug</w:t>
      </w:r>
      <w:proofErr w:type="spellEnd"/>
      <w:r w:rsidRPr="00312264">
        <w:t>-in hibrit/yakıt hücreli araçlarının en az %85’ini AB menşe kriterlerine uygun üretmişse, sonraki 12 ay boyunca tüm ilgili araçları otomatik olarak uygun kabul edilebilecektir.</w:t>
      </w:r>
    </w:p>
    <w:p w14:paraId="1F69A62A" w14:textId="645D6A5A" w:rsidR="00312264" w:rsidRDefault="00312264" w:rsidP="000D41B6">
      <w:pPr>
        <w:pStyle w:val="NormalWeb"/>
        <w:jc w:val="both"/>
      </w:pPr>
      <w:r w:rsidRPr="00312264">
        <w:t xml:space="preserve">Ayrıca, Birlik içinde halihazırda tescil edilmiş araçlar, 31 Aralık 2035 tarihine kadar bu </w:t>
      </w:r>
      <w:proofErr w:type="spellStart"/>
      <w:r w:rsidRPr="00312264">
        <w:t>Ek’te</w:t>
      </w:r>
      <w:proofErr w:type="spellEnd"/>
      <w:r w:rsidRPr="00312264">
        <w:t xml:space="preserve"> belirtilen şartları karşılıyor kabul edilecektir. Bu özellikle AB’de kayıtlı fakat üretiminde üçüncü ülke girdisi bulunan araçlar açısından önemli bir istisna niteliğindedir.</w:t>
      </w:r>
    </w:p>
    <w:p w14:paraId="05789A23" w14:textId="44F41B47" w:rsidR="007A6E85" w:rsidRDefault="007A6E85" w:rsidP="000D41B6">
      <w:pPr>
        <w:pStyle w:val="NormalWeb"/>
        <w:jc w:val="both"/>
      </w:pPr>
      <w:r w:rsidRPr="00226C38">
        <w:t xml:space="preserve">Diğer taraftan, </w:t>
      </w:r>
      <w:r w:rsidRPr="000554D9">
        <w:rPr>
          <w:b/>
          <w:bCs/>
        </w:rPr>
        <w:t xml:space="preserve">EK-III Bölüm </w:t>
      </w:r>
      <w:proofErr w:type="spellStart"/>
      <w:r w:rsidRPr="000554D9">
        <w:rPr>
          <w:b/>
          <w:bCs/>
        </w:rPr>
        <w:t>II’de</w:t>
      </w:r>
      <w:proofErr w:type="spellEnd"/>
      <w:r w:rsidRPr="00226C38">
        <w:t xml:space="preserve"> yer alan kurumsal araçlara yönelik diğer kamu müdahalesi ve mali destek biçimlerine ilişkin yukarıda yer alan benzer teknik kriterler uygulanacaktır.</w:t>
      </w:r>
    </w:p>
    <w:p w14:paraId="394156A1" w14:textId="6A504C13" w:rsidR="000D41B6" w:rsidRPr="000554D9" w:rsidRDefault="006D089A" w:rsidP="000D41B6">
      <w:pPr>
        <w:pStyle w:val="NormalWeb"/>
        <w:jc w:val="both"/>
      </w:pPr>
      <w:r w:rsidRPr="000554D9">
        <w:rPr>
          <w:b/>
          <w:bCs/>
        </w:rPr>
        <w:lastRenderedPageBreak/>
        <w:t xml:space="preserve">Ek-III Bölüm </w:t>
      </w:r>
      <w:proofErr w:type="spellStart"/>
      <w:r w:rsidRPr="000554D9">
        <w:rPr>
          <w:b/>
          <w:bCs/>
        </w:rPr>
        <w:t>III’te</w:t>
      </w:r>
      <w:proofErr w:type="spellEnd"/>
      <w:r w:rsidRPr="000554D9">
        <w:t xml:space="preserve">, </w:t>
      </w:r>
      <w:bookmarkStart w:id="4" w:name="_Hlk223362191"/>
      <w:bookmarkEnd w:id="2"/>
      <w:r w:rsidR="004E6731" w:rsidRPr="000554D9">
        <w:t>küçük sıfır emisyonlu araçların “</w:t>
      </w:r>
      <w:proofErr w:type="spellStart"/>
      <w:r w:rsidR="004E6731" w:rsidRPr="000554D9">
        <w:t>Made</w:t>
      </w:r>
      <w:proofErr w:type="spellEnd"/>
      <w:r w:rsidR="004E6731" w:rsidRPr="000554D9">
        <w:t xml:space="preserve"> in EU” sayılmasına ilişkin kriterler belirlenmektedir. </w:t>
      </w:r>
      <w:r w:rsidR="004E6731">
        <w:t xml:space="preserve">Buna göre </w:t>
      </w:r>
      <w:r w:rsidR="000D41B6" w:rsidRPr="000D41B6">
        <w:t xml:space="preserve">aracın Birlik içinde monte edilmesi ve ayrıca iki kriterden birinin sağlanması gerekmektedir: </w:t>
      </w:r>
    </w:p>
    <w:p w14:paraId="1AA53D6D" w14:textId="77777777" w:rsidR="000D41B6" w:rsidRPr="000D41B6" w:rsidRDefault="000D41B6" w:rsidP="000D41B6">
      <w:pPr>
        <w:pStyle w:val="NormalWeb"/>
        <w:numPr>
          <w:ilvl w:val="0"/>
          <w:numId w:val="8"/>
        </w:numPr>
        <w:jc w:val="both"/>
      </w:pPr>
      <w:r w:rsidRPr="000D41B6">
        <w:t xml:space="preserve">Araç bataryası hariç Birlik menşeli bileşenlerin toplam fabrika çıkış fiyatının en az %70 oranında olması veya </w:t>
      </w:r>
    </w:p>
    <w:p w14:paraId="50323765" w14:textId="77777777" w:rsidR="000D41B6" w:rsidRPr="000D41B6" w:rsidRDefault="000D41B6" w:rsidP="000D41B6">
      <w:pPr>
        <w:pStyle w:val="NormalWeb"/>
        <w:numPr>
          <w:ilvl w:val="0"/>
          <w:numId w:val="8"/>
        </w:numPr>
        <w:jc w:val="both"/>
      </w:pPr>
      <w:r w:rsidRPr="000D41B6">
        <w:t>Çekiş bataryasının en az üç ana özgül bileşeni (batarya hücreleri dahil) Birlik menşeli olması.</w:t>
      </w:r>
    </w:p>
    <w:bookmarkEnd w:id="4"/>
    <w:p w14:paraId="4D27F045" w14:textId="4C1892C3" w:rsidR="00720C6F" w:rsidRDefault="00720C6F" w:rsidP="00B058E3">
      <w:pPr>
        <w:spacing w:after="0" w:line="240" w:lineRule="auto"/>
        <w:jc w:val="both"/>
        <w:rPr>
          <w:rFonts w:ascii="Times New Roman" w:hAnsi="Times New Roman" w:cs="Times New Roman"/>
        </w:rPr>
      </w:pPr>
      <w:r w:rsidRPr="00B058E3">
        <w:rPr>
          <w:rFonts w:ascii="Times New Roman" w:hAnsi="Times New Roman" w:cs="Times New Roman"/>
          <w:b/>
          <w:bCs/>
        </w:rPr>
        <w:t>Ek-IV</w:t>
      </w:r>
      <w:r w:rsidR="00B058E3">
        <w:rPr>
          <w:rFonts w:ascii="Times New Roman" w:hAnsi="Times New Roman" w:cs="Times New Roman"/>
        </w:rPr>
        <w:t xml:space="preserve">’te </w:t>
      </w:r>
      <w:r w:rsidRPr="00B058E3">
        <w:rPr>
          <w:rFonts w:ascii="Times New Roman" w:hAnsi="Times New Roman" w:cs="Times New Roman"/>
        </w:rPr>
        <w:t xml:space="preserve">2018/1724 sayılı </w:t>
      </w:r>
      <w:proofErr w:type="spellStart"/>
      <w:r w:rsidRPr="00B058E3">
        <w:rPr>
          <w:rFonts w:ascii="Times New Roman" w:hAnsi="Times New Roman" w:cs="Times New Roman"/>
        </w:rPr>
        <w:t>Tüzük’te</w:t>
      </w:r>
      <w:proofErr w:type="spellEnd"/>
      <w:r w:rsidRPr="00B058E3">
        <w:rPr>
          <w:rFonts w:ascii="Times New Roman" w:hAnsi="Times New Roman" w:cs="Times New Roman"/>
        </w:rPr>
        <w:t xml:space="preserve"> (AB genelinde vatandaşlar ve işletmeler için idari bilgi ve izin süreçlerine dijital erişime ilişkin Tek Dijital Geçit Tüzüğü) değişiklikler öngörmektedir. </w:t>
      </w:r>
    </w:p>
    <w:p w14:paraId="3F358A8D" w14:textId="77777777" w:rsidR="00B505FA" w:rsidRDefault="00B505FA" w:rsidP="00B505FA">
      <w:pPr>
        <w:spacing w:after="0" w:line="240" w:lineRule="auto"/>
        <w:jc w:val="both"/>
        <w:rPr>
          <w:rFonts w:ascii="Times New Roman" w:hAnsi="Times New Roman" w:cs="Times New Roman"/>
        </w:rPr>
      </w:pPr>
    </w:p>
    <w:p w14:paraId="1F97A05B" w14:textId="3E0CA27B" w:rsidR="00B505FA" w:rsidRPr="00B505FA" w:rsidRDefault="00B505FA" w:rsidP="00B505FA">
      <w:pPr>
        <w:spacing w:after="0" w:line="240" w:lineRule="auto"/>
        <w:jc w:val="both"/>
        <w:rPr>
          <w:rFonts w:ascii="Times New Roman" w:hAnsi="Times New Roman" w:cs="Times New Roman"/>
        </w:rPr>
      </w:pPr>
      <w:r>
        <w:rPr>
          <w:rFonts w:ascii="Times New Roman" w:hAnsi="Times New Roman" w:cs="Times New Roman"/>
        </w:rPr>
        <w:t>Arz olunur.</w:t>
      </w:r>
    </w:p>
    <w:p w14:paraId="2F8A264C" w14:textId="2E07E864" w:rsidR="002B1AFE" w:rsidRDefault="002B1AFE" w:rsidP="00C47EA9">
      <w:pPr>
        <w:pStyle w:val="ListeParagraf"/>
        <w:spacing w:after="0" w:line="240" w:lineRule="auto"/>
        <w:jc w:val="both"/>
        <w:rPr>
          <w:rFonts w:ascii="Times New Roman" w:hAnsi="Times New Roman" w:cs="Times New Roman"/>
        </w:rPr>
      </w:pPr>
    </w:p>
    <w:p w14:paraId="0B24A74C" w14:textId="77777777" w:rsidR="00B139EB" w:rsidRPr="00C47EA9" w:rsidRDefault="00B139EB" w:rsidP="00C47EA9">
      <w:pPr>
        <w:pStyle w:val="ListeParagraf"/>
        <w:spacing w:after="0" w:line="240" w:lineRule="auto"/>
        <w:jc w:val="both"/>
        <w:rPr>
          <w:rFonts w:ascii="Times New Roman" w:hAnsi="Times New Roman" w:cs="Times New Roman"/>
        </w:rPr>
      </w:pPr>
    </w:p>
    <w:sectPr w:rsidR="00B139EB" w:rsidRPr="00C47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3F02" w14:textId="77777777" w:rsidR="00864B35" w:rsidRDefault="00864B35" w:rsidP="006C3AD5">
      <w:pPr>
        <w:spacing w:after="0" w:line="240" w:lineRule="auto"/>
      </w:pPr>
      <w:r>
        <w:separator/>
      </w:r>
    </w:p>
  </w:endnote>
  <w:endnote w:type="continuationSeparator" w:id="0">
    <w:p w14:paraId="0CEC8396" w14:textId="77777777" w:rsidR="00864B35" w:rsidRDefault="00864B35" w:rsidP="006C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2636" w14:textId="77777777" w:rsidR="00864B35" w:rsidRDefault="00864B35" w:rsidP="006C3AD5">
      <w:pPr>
        <w:spacing w:after="0" w:line="240" w:lineRule="auto"/>
      </w:pPr>
      <w:r>
        <w:separator/>
      </w:r>
    </w:p>
  </w:footnote>
  <w:footnote w:type="continuationSeparator" w:id="0">
    <w:p w14:paraId="76DA5599" w14:textId="77777777" w:rsidR="00864B35" w:rsidRDefault="00864B35" w:rsidP="006C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58EC" w14:textId="76069EBF"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T.C. Ticaret Bakanlığı</w:t>
    </w:r>
  </w:p>
  <w:p w14:paraId="129DF2AE" w14:textId="0E6DDD41"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Uluslararası Anlaşmalar ve AB Genel Müdürlüğü</w:t>
    </w:r>
  </w:p>
  <w:p w14:paraId="38BEE4DF" w14:textId="19CE802D" w:rsid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AB Tek Pazar ve Yeşil Mutabakatı Dairesi</w:t>
    </w:r>
  </w:p>
  <w:p w14:paraId="782F1AC7" w14:textId="77777777" w:rsidR="00B505FA" w:rsidRPr="00B505FA" w:rsidRDefault="00B505FA">
    <w:pPr>
      <w:pStyle w:val="stBilgi"/>
      <w:rPr>
        <w:rFonts w:ascii="Times New Roman" w:hAnsi="Times New Roman" w:cs="Times New Roman"/>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C40"/>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E5B36"/>
    <w:multiLevelType w:val="hybridMultilevel"/>
    <w:tmpl w:val="DB6A0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14386"/>
    <w:multiLevelType w:val="multilevel"/>
    <w:tmpl w:val="69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5D7A"/>
    <w:multiLevelType w:val="hybridMultilevel"/>
    <w:tmpl w:val="AFC21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07AC8"/>
    <w:multiLevelType w:val="hybridMultilevel"/>
    <w:tmpl w:val="1D92BCB4"/>
    <w:lvl w:ilvl="0" w:tplc="B2D8BD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F70B3E"/>
    <w:multiLevelType w:val="hybridMultilevel"/>
    <w:tmpl w:val="FA762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A56475"/>
    <w:multiLevelType w:val="hybridMultilevel"/>
    <w:tmpl w:val="4E487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7F02C7"/>
    <w:multiLevelType w:val="multilevel"/>
    <w:tmpl w:val="846E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D3B09"/>
    <w:multiLevelType w:val="multilevel"/>
    <w:tmpl w:val="FDD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510D1"/>
    <w:multiLevelType w:val="hybridMultilevel"/>
    <w:tmpl w:val="5AA00E16"/>
    <w:lvl w:ilvl="0" w:tplc="A9187662">
      <w:start w:val="1"/>
      <w:numFmt w:val="decimal"/>
      <w:lvlText w:val="%1."/>
      <w:lvlJc w:val="left"/>
      <w:pPr>
        <w:ind w:left="720" w:hanging="360"/>
      </w:pPr>
      <w:rPr>
        <w:rFonts w:hint="default"/>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A90789"/>
    <w:multiLevelType w:val="multilevel"/>
    <w:tmpl w:val="8A4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A7B6C"/>
    <w:multiLevelType w:val="hybridMultilevel"/>
    <w:tmpl w:val="51B60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3455CC"/>
    <w:multiLevelType w:val="multilevel"/>
    <w:tmpl w:val="83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64FC"/>
    <w:multiLevelType w:val="hybridMultilevel"/>
    <w:tmpl w:val="DC5EA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9F3E00"/>
    <w:multiLevelType w:val="multilevel"/>
    <w:tmpl w:val="8FF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377A1"/>
    <w:multiLevelType w:val="hybridMultilevel"/>
    <w:tmpl w:val="7A8CA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524DBD"/>
    <w:multiLevelType w:val="hybridMultilevel"/>
    <w:tmpl w:val="AFC213BE"/>
    <w:lvl w:ilvl="0" w:tplc="6736F2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26317E"/>
    <w:multiLevelType w:val="hybridMultilevel"/>
    <w:tmpl w:val="E6E2F9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F52CCD"/>
    <w:multiLevelType w:val="hybridMultilevel"/>
    <w:tmpl w:val="95DA52F0"/>
    <w:lvl w:ilvl="0" w:tplc="BEA65B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9FB45E6"/>
    <w:multiLevelType w:val="multilevel"/>
    <w:tmpl w:val="38F8E8EA"/>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1634D"/>
    <w:multiLevelType w:val="hybridMultilevel"/>
    <w:tmpl w:val="A69400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9C75530"/>
    <w:multiLevelType w:val="hybridMultilevel"/>
    <w:tmpl w:val="D0F2682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05311C"/>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7131874">
    <w:abstractNumId w:val="9"/>
  </w:num>
  <w:num w:numId="2" w16cid:durableId="623539713">
    <w:abstractNumId w:val="14"/>
  </w:num>
  <w:num w:numId="3" w16cid:durableId="1848787741">
    <w:abstractNumId w:val="4"/>
  </w:num>
  <w:num w:numId="4" w16cid:durableId="1175879361">
    <w:abstractNumId w:val="0"/>
  </w:num>
  <w:num w:numId="5" w16cid:durableId="816916653">
    <w:abstractNumId w:val="22"/>
  </w:num>
  <w:num w:numId="6" w16cid:durableId="1896431901">
    <w:abstractNumId w:val="10"/>
  </w:num>
  <w:num w:numId="7" w16cid:durableId="1250625117">
    <w:abstractNumId w:val="7"/>
  </w:num>
  <w:num w:numId="8" w16cid:durableId="966740280">
    <w:abstractNumId w:val="5"/>
  </w:num>
  <w:num w:numId="9" w16cid:durableId="464279575">
    <w:abstractNumId w:val="11"/>
  </w:num>
  <w:num w:numId="10" w16cid:durableId="1529558821">
    <w:abstractNumId w:val="16"/>
  </w:num>
  <w:num w:numId="11" w16cid:durableId="843476087">
    <w:abstractNumId w:val="18"/>
  </w:num>
  <w:num w:numId="12" w16cid:durableId="1145925678">
    <w:abstractNumId w:val="19"/>
  </w:num>
  <w:num w:numId="13" w16cid:durableId="751661642">
    <w:abstractNumId w:val="8"/>
  </w:num>
  <w:num w:numId="14" w16cid:durableId="626858532">
    <w:abstractNumId w:val="12"/>
  </w:num>
  <w:num w:numId="15" w16cid:durableId="1795783305">
    <w:abstractNumId w:val="3"/>
  </w:num>
  <w:num w:numId="16" w16cid:durableId="235092290">
    <w:abstractNumId w:val="17"/>
  </w:num>
  <w:num w:numId="17" w16cid:durableId="936520473">
    <w:abstractNumId w:val="20"/>
  </w:num>
  <w:num w:numId="18" w16cid:durableId="1117677284">
    <w:abstractNumId w:val="2"/>
  </w:num>
  <w:num w:numId="19" w16cid:durableId="275449908">
    <w:abstractNumId w:val="21"/>
  </w:num>
  <w:num w:numId="20" w16cid:durableId="1121994016">
    <w:abstractNumId w:val="6"/>
  </w:num>
  <w:num w:numId="21" w16cid:durableId="1478184484">
    <w:abstractNumId w:val="1"/>
  </w:num>
  <w:num w:numId="22" w16cid:durableId="961114057">
    <w:abstractNumId w:val="13"/>
  </w:num>
  <w:num w:numId="23" w16cid:durableId="893397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D4"/>
    <w:rsid w:val="00000924"/>
    <w:rsid w:val="0003541F"/>
    <w:rsid w:val="000408AA"/>
    <w:rsid w:val="0004186D"/>
    <w:rsid w:val="00043C73"/>
    <w:rsid w:val="000554D9"/>
    <w:rsid w:val="000A14FC"/>
    <w:rsid w:val="000A1798"/>
    <w:rsid w:val="000D41B6"/>
    <w:rsid w:val="000E569C"/>
    <w:rsid w:val="00130E60"/>
    <w:rsid w:val="0013105F"/>
    <w:rsid w:val="00173EC6"/>
    <w:rsid w:val="001A4229"/>
    <w:rsid w:val="001B43AD"/>
    <w:rsid w:val="001E4296"/>
    <w:rsid w:val="0020229F"/>
    <w:rsid w:val="002030B1"/>
    <w:rsid w:val="00213DCA"/>
    <w:rsid w:val="0022628B"/>
    <w:rsid w:val="00226C38"/>
    <w:rsid w:val="00227A2A"/>
    <w:rsid w:val="00230443"/>
    <w:rsid w:val="00237FD0"/>
    <w:rsid w:val="00241FE0"/>
    <w:rsid w:val="002B1AFE"/>
    <w:rsid w:val="002B5929"/>
    <w:rsid w:val="002C60A5"/>
    <w:rsid w:val="002D162C"/>
    <w:rsid w:val="002D3CFD"/>
    <w:rsid w:val="002D78C2"/>
    <w:rsid w:val="002F2AF2"/>
    <w:rsid w:val="003119F9"/>
    <w:rsid w:val="00312264"/>
    <w:rsid w:val="00344212"/>
    <w:rsid w:val="00356431"/>
    <w:rsid w:val="003710E0"/>
    <w:rsid w:val="003C4634"/>
    <w:rsid w:val="003D448B"/>
    <w:rsid w:val="003E2DF3"/>
    <w:rsid w:val="003F1B4E"/>
    <w:rsid w:val="00441D3B"/>
    <w:rsid w:val="00452051"/>
    <w:rsid w:val="00467DDA"/>
    <w:rsid w:val="004713C0"/>
    <w:rsid w:val="00481E44"/>
    <w:rsid w:val="004853D4"/>
    <w:rsid w:val="00485B38"/>
    <w:rsid w:val="00492FD8"/>
    <w:rsid w:val="004B637D"/>
    <w:rsid w:val="004E6731"/>
    <w:rsid w:val="004E7359"/>
    <w:rsid w:val="00512B83"/>
    <w:rsid w:val="00537D94"/>
    <w:rsid w:val="00563C95"/>
    <w:rsid w:val="005656F4"/>
    <w:rsid w:val="005949B8"/>
    <w:rsid w:val="005E0CD1"/>
    <w:rsid w:val="005E6319"/>
    <w:rsid w:val="00602344"/>
    <w:rsid w:val="006069D7"/>
    <w:rsid w:val="00606ED1"/>
    <w:rsid w:val="00635F68"/>
    <w:rsid w:val="0064097E"/>
    <w:rsid w:val="00647C1C"/>
    <w:rsid w:val="00650926"/>
    <w:rsid w:val="00651649"/>
    <w:rsid w:val="00667B8E"/>
    <w:rsid w:val="006762DE"/>
    <w:rsid w:val="006A32C9"/>
    <w:rsid w:val="006B722F"/>
    <w:rsid w:val="006C3AD5"/>
    <w:rsid w:val="006D089A"/>
    <w:rsid w:val="00720C6F"/>
    <w:rsid w:val="00742416"/>
    <w:rsid w:val="00775DEE"/>
    <w:rsid w:val="0079498D"/>
    <w:rsid w:val="007A1CBE"/>
    <w:rsid w:val="007A6E85"/>
    <w:rsid w:val="007B54C3"/>
    <w:rsid w:val="008331C4"/>
    <w:rsid w:val="00840C10"/>
    <w:rsid w:val="008500CC"/>
    <w:rsid w:val="00854BC1"/>
    <w:rsid w:val="00864B35"/>
    <w:rsid w:val="0088555D"/>
    <w:rsid w:val="00885CF5"/>
    <w:rsid w:val="008A0E68"/>
    <w:rsid w:val="008A37E9"/>
    <w:rsid w:val="008F0A5C"/>
    <w:rsid w:val="008F4793"/>
    <w:rsid w:val="00901EB2"/>
    <w:rsid w:val="00910D88"/>
    <w:rsid w:val="00922F91"/>
    <w:rsid w:val="00934C07"/>
    <w:rsid w:val="009543A8"/>
    <w:rsid w:val="00957B55"/>
    <w:rsid w:val="00957F83"/>
    <w:rsid w:val="009621C1"/>
    <w:rsid w:val="00975DD4"/>
    <w:rsid w:val="00985DDC"/>
    <w:rsid w:val="00987CFF"/>
    <w:rsid w:val="00997B98"/>
    <w:rsid w:val="009A4AD4"/>
    <w:rsid w:val="009E5361"/>
    <w:rsid w:val="00A61F88"/>
    <w:rsid w:val="00A74EDE"/>
    <w:rsid w:val="00AD4A38"/>
    <w:rsid w:val="00AE2340"/>
    <w:rsid w:val="00AE5D60"/>
    <w:rsid w:val="00B058E3"/>
    <w:rsid w:val="00B139EB"/>
    <w:rsid w:val="00B32F43"/>
    <w:rsid w:val="00B41C8E"/>
    <w:rsid w:val="00B505FA"/>
    <w:rsid w:val="00B65D15"/>
    <w:rsid w:val="00B702F1"/>
    <w:rsid w:val="00B8232C"/>
    <w:rsid w:val="00BA4976"/>
    <w:rsid w:val="00BC4799"/>
    <w:rsid w:val="00BD1F58"/>
    <w:rsid w:val="00BD2DA1"/>
    <w:rsid w:val="00BE2108"/>
    <w:rsid w:val="00BF1ECA"/>
    <w:rsid w:val="00C1201E"/>
    <w:rsid w:val="00C157C5"/>
    <w:rsid w:val="00C23DA7"/>
    <w:rsid w:val="00C36699"/>
    <w:rsid w:val="00C47EA9"/>
    <w:rsid w:val="00C54189"/>
    <w:rsid w:val="00C543FD"/>
    <w:rsid w:val="00C63D54"/>
    <w:rsid w:val="00C72925"/>
    <w:rsid w:val="00C733C9"/>
    <w:rsid w:val="00C9372D"/>
    <w:rsid w:val="00CB6EA6"/>
    <w:rsid w:val="00CD5B92"/>
    <w:rsid w:val="00CD7BA7"/>
    <w:rsid w:val="00D133A3"/>
    <w:rsid w:val="00D32F98"/>
    <w:rsid w:val="00D46B26"/>
    <w:rsid w:val="00D53ABB"/>
    <w:rsid w:val="00D54A6A"/>
    <w:rsid w:val="00D54BF6"/>
    <w:rsid w:val="00DB77B7"/>
    <w:rsid w:val="00DD67EE"/>
    <w:rsid w:val="00DE1987"/>
    <w:rsid w:val="00DE307B"/>
    <w:rsid w:val="00E23113"/>
    <w:rsid w:val="00E302A4"/>
    <w:rsid w:val="00E35ACA"/>
    <w:rsid w:val="00E36708"/>
    <w:rsid w:val="00E37833"/>
    <w:rsid w:val="00E443AF"/>
    <w:rsid w:val="00E61F33"/>
    <w:rsid w:val="00EB347C"/>
    <w:rsid w:val="00F15AAC"/>
    <w:rsid w:val="00FC5B5A"/>
    <w:rsid w:val="00FC6D3D"/>
    <w:rsid w:val="00FD010C"/>
    <w:rsid w:val="00FD5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357A"/>
  <w15:chartTrackingRefBased/>
  <w15:docId w15:val="{4E22377B-91A4-4320-BB16-E3BFCAF5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5DD4"/>
    <w:rPr>
      <w:rFonts w:eastAsiaTheme="majorEastAsia" w:cstheme="majorBidi"/>
      <w:color w:val="272727" w:themeColor="text1" w:themeTint="D8"/>
    </w:rPr>
  </w:style>
  <w:style w:type="paragraph" w:styleId="KonuBal">
    <w:name w:val="Title"/>
    <w:basedOn w:val="Normal"/>
    <w:next w:val="Normal"/>
    <w:link w:val="KonuBalChar"/>
    <w:uiPriority w:val="10"/>
    <w:qFormat/>
    <w:rsid w:val="0097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5DD4"/>
    <w:rPr>
      <w:i/>
      <w:iCs/>
      <w:color w:val="404040" w:themeColor="text1" w:themeTint="BF"/>
    </w:rPr>
  </w:style>
  <w:style w:type="paragraph" w:styleId="ListeParagraf">
    <w:name w:val="List Paragraph"/>
    <w:basedOn w:val="Normal"/>
    <w:uiPriority w:val="34"/>
    <w:qFormat/>
    <w:rsid w:val="00975DD4"/>
    <w:pPr>
      <w:ind w:left="720"/>
      <w:contextualSpacing/>
    </w:pPr>
  </w:style>
  <w:style w:type="character" w:styleId="GlVurgulama">
    <w:name w:val="Intense Emphasis"/>
    <w:basedOn w:val="VarsaylanParagrafYazTipi"/>
    <w:uiPriority w:val="21"/>
    <w:qFormat/>
    <w:rsid w:val="00975DD4"/>
    <w:rPr>
      <w:i/>
      <w:iCs/>
      <w:color w:val="0F4761" w:themeColor="accent1" w:themeShade="BF"/>
    </w:rPr>
  </w:style>
  <w:style w:type="paragraph" w:styleId="GlAlnt">
    <w:name w:val="Intense Quote"/>
    <w:basedOn w:val="Normal"/>
    <w:next w:val="Normal"/>
    <w:link w:val="GlAlntChar"/>
    <w:uiPriority w:val="30"/>
    <w:qFormat/>
    <w:rsid w:val="0097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5DD4"/>
    <w:rPr>
      <w:i/>
      <w:iCs/>
      <w:color w:val="0F4761" w:themeColor="accent1" w:themeShade="BF"/>
    </w:rPr>
  </w:style>
  <w:style w:type="character" w:styleId="GlBavuru">
    <w:name w:val="Intense Reference"/>
    <w:basedOn w:val="VarsaylanParagrafYazTipi"/>
    <w:uiPriority w:val="32"/>
    <w:qFormat/>
    <w:rsid w:val="00975DD4"/>
    <w:rPr>
      <w:b/>
      <w:bCs/>
      <w:smallCaps/>
      <w:color w:val="0F4761" w:themeColor="accent1" w:themeShade="BF"/>
      <w:spacing w:val="5"/>
    </w:rPr>
  </w:style>
  <w:style w:type="paragraph" w:styleId="NormalWeb">
    <w:name w:val="Normal (Web)"/>
    <w:basedOn w:val="Normal"/>
    <w:uiPriority w:val="99"/>
    <w:unhideWhenUsed/>
    <w:rsid w:val="00C733C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47EA9"/>
    <w:rPr>
      <w:b/>
      <w:bCs/>
    </w:rPr>
  </w:style>
  <w:style w:type="character" w:styleId="AklamaBavurusu">
    <w:name w:val="annotation reference"/>
    <w:basedOn w:val="VarsaylanParagrafYazTipi"/>
    <w:uiPriority w:val="99"/>
    <w:semiHidden/>
    <w:unhideWhenUsed/>
    <w:rsid w:val="00720C6F"/>
    <w:rPr>
      <w:sz w:val="16"/>
      <w:szCs w:val="16"/>
    </w:rPr>
  </w:style>
  <w:style w:type="paragraph" w:styleId="AklamaMetni">
    <w:name w:val="annotation text"/>
    <w:basedOn w:val="Normal"/>
    <w:link w:val="AklamaMetniChar"/>
    <w:uiPriority w:val="99"/>
    <w:semiHidden/>
    <w:unhideWhenUsed/>
    <w:rsid w:val="00720C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0C6F"/>
    <w:rPr>
      <w:sz w:val="20"/>
      <w:szCs w:val="20"/>
    </w:rPr>
  </w:style>
  <w:style w:type="paragraph" w:styleId="AklamaKonusu">
    <w:name w:val="annotation subject"/>
    <w:basedOn w:val="AklamaMetni"/>
    <w:next w:val="AklamaMetni"/>
    <w:link w:val="AklamaKonusuChar"/>
    <w:uiPriority w:val="99"/>
    <w:semiHidden/>
    <w:unhideWhenUsed/>
    <w:rsid w:val="00720C6F"/>
    <w:rPr>
      <w:b/>
      <w:bCs/>
    </w:rPr>
  </w:style>
  <w:style w:type="character" w:customStyle="1" w:styleId="AklamaKonusuChar">
    <w:name w:val="Açıklama Konusu Char"/>
    <w:basedOn w:val="AklamaMetniChar"/>
    <w:link w:val="AklamaKonusu"/>
    <w:uiPriority w:val="99"/>
    <w:semiHidden/>
    <w:rsid w:val="00720C6F"/>
    <w:rPr>
      <w:b/>
      <w:bCs/>
      <w:sz w:val="20"/>
      <w:szCs w:val="20"/>
    </w:rPr>
  </w:style>
  <w:style w:type="paragraph" w:styleId="stBilgi">
    <w:name w:val="header"/>
    <w:basedOn w:val="Normal"/>
    <w:link w:val="stBilgiChar"/>
    <w:uiPriority w:val="99"/>
    <w:unhideWhenUsed/>
    <w:rsid w:val="00B505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5FA"/>
  </w:style>
  <w:style w:type="paragraph" w:styleId="AltBilgi">
    <w:name w:val="footer"/>
    <w:basedOn w:val="Normal"/>
    <w:link w:val="AltBilgiChar"/>
    <w:uiPriority w:val="99"/>
    <w:unhideWhenUsed/>
    <w:rsid w:val="00B505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5FA"/>
  </w:style>
  <w:style w:type="paragraph" w:styleId="HTMLncedenBiimlendirilmi">
    <w:name w:val="HTML Preformatted"/>
    <w:basedOn w:val="Normal"/>
    <w:link w:val="HTMLncedenBiimlendirilmiChar"/>
    <w:uiPriority w:val="99"/>
    <w:semiHidden/>
    <w:unhideWhenUsed/>
    <w:rsid w:val="007A6E8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A6E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055">
      <w:bodyDiv w:val="1"/>
      <w:marLeft w:val="0"/>
      <w:marRight w:val="0"/>
      <w:marTop w:val="0"/>
      <w:marBottom w:val="0"/>
      <w:divBdr>
        <w:top w:val="none" w:sz="0" w:space="0" w:color="auto"/>
        <w:left w:val="none" w:sz="0" w:space="0" w:color="auto"/>
        <w:bottom w:val="none" w:sz="0" w:space="0" w:color="auto"/>
        <w:right w:val="none" w:sz="0" w:space="0" w:color="auto"/>
      </w:divBdr>
    </w:div>
    <w:div w:id="179927833">
      <w:bodyDiv w:val="1"/>
      <w:marLeft w:val="0"/>
      <w:marRight w:val="0"/>
      <w:marTop w:val="0"/>
      <w:marBottom w:val="0"/>
      <w:divBdr>
        <w:top w:val="none" w:sz="0" w:space="0" w:color="auto"/>
        <w:left w:val="none" w:sz="0" w:space="0" w:color="auto"/>
        <w:bottom w:val="none" w:sz="0" w:space="0" w:color="auto"/>
        <w:right w:val="none" w:sz="0" w:space="0" w:color="auto"/>
      </w:divBdr>
    </w:div>
    <w:div w:id="217203531">
      <w:bodyDiv w:val="1"/>
      <w:marLeft w:val="0"/>
      <w:marRight w:val="0"/>
      <w:marTop w:val="0"/>
      <w:marBottom w:val="0"/>
      <w:divBdr>
        <w:top w:val="none" w:sz="0" w:space="0" w:color="auto"/>
        <w:left w:val="none" w:sz="0" w:space="0" w:color="auto"/>
        <w:bottom w:val="none" w:sz="0" w:space="0" w:color="auto"/>
        <w:right w:val="none" w:sz="0" w:space="0" w:color="auto"/>
      </w:divBdr>
    </w:div>
    <w:div w:id="262224569">
      <w:bodyDiv w:val="1"/>
      <w:marLeft w:val="0"/>
      <w:marRight w:val="0"/>
      <w:marTop w:val="0"/>
      <w:marBottom w:val="0"/>
      <w:divBdr>
        <w:top w:val="none" w:sz="0" w:space="0" w:color="auto"/>
        <w:left w:val="none" w:sz="0" w:space="0" w:color="auto"/>
        <w:bottom w:val="none" w:sz="0" w:space="0" w:color="auto"/>
        <w:right w:val="none" w:sz="0" w:space="0" w:color="auto"/>
      </w:divBdr>
    </w:div>
    <w:div w:id="268440961">
      <w:bodyDiv w:val="1"/>
      <w:marLeft w:val="0"/>
      <w:marRight w:val="0"/>
      <w:marTop w:val="0"/>
      <w:marBottom w:val="0"/>
      <w:divBdr>
        <w:top w:val="none" w:sz="0" w:space="0" w:color="auto"/>
        <w:left w:val="none" w:sz="0" w:space="0" w:color="auto"/>
        <w:bottom w:val="none" w:sz="0" w:space="0" w:color="auto"/>
        <w:right w:val="none" w:sz="0" w:space="0" w:color="auto"/>
      </w:divBdr>
    </w:div>
    <w:div w:id="288434388">
      <w:bodyDiv w:val="1"/>
      <w:marLeft w:val="0"/>
      <w:marRight w:val="0"/>
      <w:marTop w:val="0"/>
      <w:marBottom w:val="0"/>
      <w:divBdr>
        <w:top w:val="none" w:sz="0" w:space="0" w:color="auto"/>
        <w:left w:val="none" w:sz="0" w:space="0" w:color="auto"/>
        <w:bottom w:val="none" w:sz="0" w:space="0" w:color="auto"/>
        <w:right w:val="none" w:sz="0" w:space="0" w:color="auto"/>
      </w:divBdr>
    </w:div>
    <w:div w:id="290788854">
      <w:bodyDiv w:val="1"/>
      <w:marLeft w:val="0"/>
      <w:marRight w:val="0"/>
      <w:marTop w:val="0"/>
      <w:marBottom w:val="0"/>
      <w:divBdr>
        <w:top w:val="none" w:sz="0" w:space="0" w:color="auto"/>
        <w:left w:val="none" w:sz="0" w:space="0" w:color="auto"/>
        <w:bottom w:val="none" w:sz="0" w:space="0" w:color="auto"/>
        <w:right w:val="none" w:sz="0" w:space="0" w:color="auto"/>
      </w:divBdr>
    </w:div>
    <w:div w:id="308705101">
      <w:bodyDiv w:val="1"/>
      <w:marLeft w:val="0"/>
      <w:marRight w:val="0"/>
      <w:marTop w:val="0"/>
      <w:marBottom w:val="0"/>
      <w:divBdr>
        <w:top w:val="none" w:sz="0" w:space="0" w:color="auto"/>
        <w:left w:val="none" w:sz="0" w:space="0" w:color="auto"/>
        <w:bottom w:val="none" w:sz="0" w:space="0" w:color="auto"/>
        <w:right w:val="none" w:sz="0" w:space="0" w:color="auto"/>
      </w:divBdr>
    </w:div>
    <w:div w:id="428896297">
      <w:bodyDiv w:val="1"/>
      <w:marLeft w:val="0"/>
      <w:marRight w:val="0"/>
      <w:marTop w:val="0"/>
      <w:marBottom w:val="0"/>
      <w:divBdr>
        <w:top w:val="none" w:sz="0" w:space="0" w:color="auto"/>
        <w:left w:val="none" w:sz="0" w:space="0" w:color="auto"/>
        <w:bottom w:val="none" w:sz="0" w:space="0" w:color="auto"/>
        <w:right w:val="none" w:sz="0" w:space="0" w:color="auto"/>
      </w:divBdr>
    </w:div>
    <w:div w:id="456072584">
      <w:bodyDiv w:val="1"/>
      <w:marLeft w:val="0"/>
      <w:marRight w:val="0"/>
      <w:marTop w:val="0"/>
      <w:marBottom w:val="0"/>
      <w:divBdr>
        <w:top w:val="none" w:sz="0" w:space="0" w:color="auto"/>
        <w:left w:val="none" w:sz="0" w:space="0" w:color="auto"/>
        <w:bottom w:val="none" w:sz="0" w:space="0" w:color="auto"/>
        <w:right w:val="none" w:sz="0" w:space="0" w:color="auto"/>
      </w:divBdr>
    </w:div>
    <w:div w:id="497621570">
      <w:bodyDiv w:val="1"/>
      <w:marLeft w:val="0"/>
      <w:marRight w:val="0"/>
      <w:marTop w:val="0"/>
      <w:marBottom w:val="0"/>
      <w:divBdr>
        <w:top w:val="none" w:sz="0" w:space="0" w:color="auto"/>
        <w:left w:val="none" w:sz="0" w:space="0" w:color="auto"/>
        <w:bottom w:val="none" w:sz="0" w:space="0" w:color="auto"/>
        <w:right w:val="none" w:sz="0" w:space="0" w:color="auto"/>
      </w:divBdr>
    </w:div>
    <w:div w:id="539366394">
      <w:bodyDiv w:val="1"/>
      <w:marLeft w:val="0"/>
      <w:marRight w:val="0"/>
      <w:marTop w:val="0"/>
      <w:marBottom w:val="0"/>
      <w:divBdr>
        <w:top w:val="none" w:sz="0" w:space="0" w:color="auto"/>
        <w:left w:val="none" w:sz="0" w:space="0" w:color="auto"/>
        <w:bottom w:val="none" w:sz="0" w:space="0" w:color="auto"/>
        <w:right w:val="none" w:sz="0" w:space="0" w:color="auto"/>
      </w:divBdr>
    </w:div>
    <w:div w:id="644623735">
      <w:bodyDiv w:val="1"/>
      <w:marLeft w:val="0"/>
      <w:marRight w:val="0"/>
      <w:marTop w:val="0"/>
      <w:marBottom w:val="0"/>
      <w:divBdr>
        <w:top w:val="none" w:sz="0" w:space="0" w:color="auto"/>
        <w:left w:val="none" w:sz="0" w:space="0" w:color="auto"/>
        <w:bottom w:val="none" w:sz="0" w:space="0" w:color="auto"/>
        <w:right w:val="none" w:sz="0" w:space="0" w:color="auto"/>
      </w:divBdr>
    </w:div>
    <w:div w:id="655110150">
      <w:bodyDiv w:val="1"/>
      <w:marLeft w:val="0"/>
      <w:marRight w:val="0"/>
      <w:marTop w:val="0"/>
      <w:marBottom w:val="0"/>
      <w:divBdr>
        <w:top w:val="none" w:sz="0" w:space="0" w:color="auto"/>
        <w:left w:val="none" w:sz="0" w:space="0" w:color="auto"/>
        <w:bottom w:val="none" w:sz="0" w:space="0" w:color="auto"/>
        <w:right w:val="none" w:sz="0" w:space="0" w:color="auto"/>
      </w:divBdr>
    </w:div>
    <w:div w:id="721100388">
      <w:bodyDiv w:val="1"/>
      <w:marLeft w:val="0"/>
      <w:marRight w:val="0"/>
      <w:marTop w:val="0"/>
      <w:marBottom w:val="0"/>
      <w:divBdr>
        <w:top w:val="none" w:sz="0" w:space="0" w:color="auto"/>
        <w:left w:val="none" w:sz="0" w:space="0" w:color="auto"/>
        <w:bottom w:val="none" w:sz="0" w:space="0" w:color="auto"/>
        <w:right w:val="none" w:sz="0" w:space="0" w:color="auto"/>
      </w:divBdr>
    </w:div>
    <w:div w:id="730151640">
      <w:bodyDiv w:val="1"/>
      <w:marLeft w:val="0"/>
      <w:marRight w:val="0"/>
      <w:marTop w:val="0"/>
      <w:marBottom w:val="0"/>
      <w:divBdr>
        <w:top w:val="none" w:sz="0" w:space="0" w:color="auto"/>
        <w:left w:val="none" w:sz="0" w:space="0" w:color="auto"/>
        <w:bottom w:val="none" w:sz="0" w:space="0" w:color="auto"/>
        <w:right w:val="none" w:sz="0" w:space="0" w:color="auto"/>
      </w:divBdr>
    </w:div>
    <w:div w:id="753167126">
      <w:bodyDiv w:val="1"/>
      <w:marLeft w:val="0"/>
      <w:marRight w:val="0"/>
      <w:marTop w:val="0"/>
      <w:marBottom w:val="0"/>
      <w:divBdr>
        <w:top w:val="none" w:sz="0" w:space="0" w:color="auto"/>
        <w:left w:val="none" w:sz="0" w:space="0" w:color="auto"/>
        <w:bottom w:val="none" w:sz="0" w:space="0" w:color="auto"/>
        <w:right w:val="none" w:sz="0" w:space="0" w:color="auto"/>
      </w:divBdr>
    </w:div>
    <w:div w:id="808061123">
      <w:bodyDiv w:val="1"/>
      <w:marLeft w:val="0"/>
      <w:marRight w:val="0"/>
      <w:marTop w:val="0"/>
      <w:marBottom w:val="0"/>
      <w:divBdr>
        <w:top w:val="none" w:sz="0" w:space="0" w:color="auto"/>
        <w:left w:val="none" w:sz="0" w:space="0" w:color="auto"/>
        <w:bottom w:val="none" w:sz="0" w:space="0" w:color="auto"/>
        <w:right w:val="none" w:sz="0" w:space="0" w:color="auto"/>
      </w:divBdr>
    </w:div>
    <w:div w:id="890076335">
      <w:bodyDiv w:val="1"/>
      <w:marLeft w:val="0"/>
      <w:marRight w:val="0"/>
      <w:marTop w:val="0"/>
      <w:marBottom w:val="0"/>
      <w:divBdr>
        <w:top w:val="none" w:sz="0" w:space="0" w:color="auto"/>
        <w:left w:val="none" w:sz="0" w:space="0" w:color="auto"/>
        <w:bottom w:val="none" w:sz="0" w:space="0" w:color="auto"/>
        <w:right w:val="none" w:sz="0" w:space="0" w:color="auto"/>
      </w:divBdr>
    </w:div>
    <w:div w:id="911234302">
      <w:bodyDiv w:val="1"/>
      <w:marLeft w:val="0"/>
      <w:marRight w:val="0"/>
      <w:marTop w:val="0"/>
      <w:marBottom w:val="0"/>
      <w:divBdr>
        <w:top w:val="none" w:sz="0" w:space="0" w:color="auto"/>
        <w:left w:val="none" w:sz="0" w:space="0" w:color="auto"/>
        <w:bottom w:val="none" w:sz="0" w:space="0" w:color="auto"/>
        <w:right w:val="none" w:sz="0" w:space="0" w:color="auto"/>
      </w:divBdr>
    </w:div>
    <w:div w:id="926039901">
      <w:bodyDiv w:val="1"/>
      <w:marLeft w:val="0"/>
      <w:marRight w:val="0"/>
      <w:marTop w:val="0"/>
      <w:marBottom w:val="0"/>
      <w:divBdr>
        <w:top w:val="none" w:sz="0" w:space="0" w:color="auto"/>
        <w:left w:val="none" w:sz="0" w:space="0" w:color="auto"/>
        <w:bottom w:val="none" w:sz="0" w:space="0" w:color="auto"/>
        <w:right w:val="none" w:sz="0" w:space="0" w:color="auto"/>
      </w:divBdr>
    </w:div>
    <w:div w:id="934556203">
      <w:bodyDiv w:val="1"/>
      <w:marLeft w:val="0"/>
      <w:marRight w:val="0"/>
      <w:marTop w:val="0"/>
      <w:marBottom w:val="0"/>
      <w:divBdr>
        <w:top w:val="none" w:sz="0" w:space="0" w:color="auto"/>
        <w:left w:val="none" w:sz="0" w:space="0" w:color="auto"/>
        <w:bottom w:val="none" w:sz="0" w:space="0" w:color="auto"/>
        <w:right w:val="none" w:sz="0" w:space="0" w:color="auto"/>
      </w:divBdr>
    </w:div>
    <w:div w:id="1014840288">
      <w:bodyDiv w:val="1"/>
      <w:marLeft w:val="0"/>
      <w:marRight w:val="0"/>
      <w:marTop w:val="0"/>
      <w:marBottom w:val="0"/>
      <w:divBdr>
        <w:top w:val="none" w:sz="0" w:space="0" w:color="auto"/>
        <w:left w:val="none" w:sz="0" w:space="0" w:color="auto"/>
        <w:bottom w:val="none" w:sz="0" w:space="0" w:color="auto"/>
        <w:right w:val="none" w:sz="0" w:space="0" w:color="auto"/>
      </w:divBdr>
    </w:div>
    <w:div w:id="1080367703">
      <w:bodyDiv w:val="1"/>
      <w:marLeft w:val="0"/>
      <w:marRight w:val="0"/>
      <w:marTop w:val="0"/>
      <w:marBottom w:val="0"/>
      <w:divBdr>
        <w:top w:val="none" w:sz="0" w:space="0" w:color="auto"/>
        <w:left w:val="none" w:sz="0" w:space="0" w:color="auto"/>
        <w:bottom w:val="none" w:sz="0" w:space="0" w:color="auto"/>
        <w:right w:val="none" w:sz="0" w:space="0" w:color="auto"/>
      </w:divBdr>
    </w:div>
    <w:div w:id="1098404323">
      <w:bodyDiv w:val="1"/>
      <w:marLeft w:val="0"/>
      <w:marRight w:val="0"/>
      <w:marTop w:val="0"/>
      <w:marBottom w:val="0"/>
      <w:divBdr>
        <w:top w:val="none" w:sz="0" w:space="0" w:color="auto"/>
        <w:left w:val="none" w:sz="0" w:space="0" w:color="auto"/>
        <w:bottom w:val="none" w:sz="0" w:space="0" w:color="auto"/>
        <w:right w:val="none" w:sz="0" w:space="0" w:color="auto"/>
      </w:divBdr>
    </w:div>
    <w:div w:id="1140997842">
      <w:bodyDiv w:val="1"/>
      <w:marLeft w:val="0"/>
      <w:marRight w:val="0"/>
      <w:marTop w:val="0"/>
      <w:marBottom w:val="0"/>
      <w:divBdr>
        <w:top w:val="none" w:sz="0" w:space="0" w:color="auto"/>
        <w:left w:val="none" w:sz="0" w:space="0" w:color="auto"/>
        <w:bottom w:val="none" w:sz="0" w:space="0" w:color="auto"/>
        <w:right w:val="none" w:sz="0" w:space="0" w:color="auto"/>
      </w:divBdr>
    </w:div>
    <w:div w:id="1156607171">
      <w:bodyDiv w:val="1"/>
      <w:marLeft w:val="0"/>
      <w:marRight w:val="0"/>
      <w:marTop w:val="0"/>
      <w:marBottom w:val="0"/>
      <w:divBdr>
        <w:top w:val="none" w:sz="0" w:space="0" w:color="auto"/>
        <w:left w:val="none" w:sz="0" w:space="0" w:color="auto"/>
        <w:bottom w:val="none" w:sz="0" w:space="0" w:color="auto"/>
        <w:right w:val="none" w:sz="0" w:space="0" w:color="auto"/>
      </w:divBdr>
    </w:div>
    <w:div w:id="1235434188">
      <w:bodyDiv w:val="1"/>
      <w:marLeft w:val="0"/>
      <w:marRight w:val="0"/>
      <w:marTop w:val="0"/>
      <w:marBottom w:val="0"/>
      <w:divBdr>
        <w:top w:val="none" w:sz="0" w:space="0" w:color="auto"/>
        <w:left w:val="none" w:sz="0" w:space="0" w:color="auto"/>
        <w:bottom w:val="none" w:sz="0" w:space="0" w:color="auto"/>
        <w:right w:val="none" w:sz="0" w:space="0" w:color="auto"/>
      </w:divBdr>
    </w:div>
    <w:div w:id="1256328081">
      <w:bodyDiv w:val="1"/>
      <w:marLeft w:val="0"/>
      <w:marRight w:val="0"/>
      <w:marTop w:val="0"/>
      <w:marBottom w:val="0"/>
      <w:divBdr>
        <w:top w:val="none" w:sz="0" w:space="0" w:color="auto"/>
        <w:left w:val="none" w:sz="0" w:space="0" w:color="auto"/>
        <w:bottom w:val="none" w:sz="0" w:space="0" w:color="auto"/>
        <w:right w:val="none" w:sz="0" w:space="0" w:color="auto"/>
      </w:divBdr>
    </w:div>
    <w:div w:id="1337657817">
      <w:bodyDiv w:val="1"/>
      <w:marLeft w:val="0"/>
      <w:marRight w:val="0"/>
      <w:marTop w:val="0"/>
      <w:marBottom w:val="0"/>
      <w:divBdr>
        <w:top w:val="none" w:sz="0" w:space="0" w:color="auto"/>
        <w:left w:val="none" w:sz="0" w:space="0" w:color="auto"/>
        <w:bottom w:val="none" w:sz="0" w:space="0" w:color="auto"/>
        <w:right w:val="none" w:sz="0" w:space="0" w:color="auto"/>
      </w:divBdr>
    </w:div>
    <w:div w:id="1349022832">
      <w:bodyDiv w:val="1"/>
      <w:marLeft w:val="0"/>
      <w:marRight w:val="0"/>
      <w:marTop w:val="0"/>
      <w:marBottom w:val="0"/>
      <w:divBdr>
        <w:top w:val="none" w:sz="0" w:space="0" w:color="auto"/>
        <w:left w:val="none" w:sz="0" w:space="0" w:color="auto"/>
        <w:bottom w:val="none" w:sz="0" w:space="0" w:color="auto"/>
        <w:right w:val="none" w:sz="0" w:space="0" w:color="auto"/>
      </w:divBdr>
    </w:div>
    <w:div w:id="1364282073">
      <w:bodyDiv w:val="1"/>
      <w:marLeft w:val="0"/>
      <w:marRight w:val="0"/>
      <w:marTop w:val="0"/>
      <w:marBottom w:val="0"/>
      <w:divBdr>
        <w:top w:val="none" w:sz="0" w:space="0" w:color="auto"/>
        <w:left w:val="none" w:sz="0" w:space="0" w:color="auto"/>
        <w:bottom w:val="none" w:sz="0" w:space="0" w:color="auto"/>
        <w:right w:val="none" w:sz="0" w:space="0" w:color="auto"/>
      </w:divBdr>
    </w:div>
    <w:div w:id="1433933463">
      <w:bodyDiv w:val="1"/>
      <w:marLeft w:val="0"/>
      <w:marRight w:val="0"/>
      <w:marTop w:val="0"/>
      <w:marBottom w:val="0"/>
      <w:divBdr>
        <w:top w:val="none" w:sz="0" w:space="0" w:color="auto"/>
        <w:left w:val="none" w:sz="0" w:space="0" w:color="auto"/>
        <w:bottom w:val="none" w:sz="0" w:space="0" w:color="auto"/>
        <w:right w:val="none" w:sz="0" w:space="0" w:color="auto"/>
      </w:divBdr>
    </w:div>
    <w:div w:id="1477257424">
      <w:bodyDiv w:val="1"/>
      <w:marLeft w:val="0"/>
      <w:marRight w:val="0"/>
      <w:marTop w:val="0"/>
      <w:marBottom w:val="0"/>
      <w:divBdr>
        <w:top w:val="none" w:sz="0" w:space="0" w:color="auto"/>
        <w:left w:val="none" w:sz="0" w:space="0" w:color="auto"/>
        <w:bottom w:val="none" w:sz="0" w:space="0" w:color="auto"/>
        <w:right w:val="none" w:sz="0" w:space="0" w:color="auto"/>
      </w:divBdr>
    </w:div>
    <w:div w:id="1551767496">
      <w:bodyDiv w:val="1"/>
      <w:marLeft w:val="0"/>
      <w:marRight w:val="0"/>
      <w:marTop w:val="0"/>
      <w:marBottom w:val="0"/>
      <w:divBdr>
        <w:top w:val="none" w:sz="0" w:space="0" w:color="auto"/>
        <w:left w:val="none" w:sz="0" w:space="0" w:color="auto"/>
        <w:bottom w:val="none" w:sz="0" w:space="0" w:color="auto"/>
        <w:right w:val="none" w:sz="0" w:space="0" w:color="auto"/>
      </w:divBdr>
    </w:div>
    <w:div w:id="1578857330">
      <w:bodyDiv w:val="1"/>
      <w:marLeft w:val="0"/>
      <w:marRight w:val="0"/>
      <w:marTop w:val="0"/>
      <w:marBottom w:val="0"/>
      <w:divBdr>
        <w:top w:val="none" w:sz="0" w:space="0" w:color="auto"/>
        <w:left w:val="none" w:sz="0" w:space="0" w:color="auto"/>
        <w:bottom w:val="none" w:sz="0" w:space="0" w:color="auto"/>
        <w:right w:val="none" w:sz="0" w:space="0" w:color="auto"/>
      </w:divBdr>
    </w:div>
    <w:div w:id="1677616806">
      <w:bodyDiv w:val="1"/>
      <w:marLeft w:val="0"/>
      <w:marRight w:val="0"/>
      <w:marTop w:val="0"/>
      <w:marBottom w:val="0"/>
      <w:divBdr>
        <w:top w:val="none" w:sz="0" w:space="0" w:color="auto"/>
        <w:left w:val="none" w:sz="0" w:space="0" w:color="auto"/>
        <w:bottom w:val="none" w:sz="0" w:space="0" w:color="auto"/>
        <w:right w:val="none" w:sz="0" w:space="0" w:color="auto"/>
      </w:divBdr>
    </w:div>
    <w:div w:id="1752044739">
      <w:bodyDiv w:val="1"/>
      <w:marLeft w:val="0"/>
      <w:marRight w:val="0"/>
      <w:marTop w:val="0"/>
      <w:marBottom w:val="0"/>
      <w:divBdr>
        <w:top w:val="none" w:sz="0" w:space="0" w:color="auto"/>
        <w:left w:val="none" w:sz="0" w:space="0" w:color="auto"/>
        <w:bottom w:val="none" w:sz="0" w:space="0" w:color="auto"/>
        <w:right w:val="none" w:sz="0" w:space="0" w:color="auto"/>
      </w:divBdr>
    </w:div>
    <w:div w:id="1864779277">
      <w:bodyDiv w:val="1"/>
      <w:marLeft w:val="0"/>
      <w:marRight w:val="0"/>
      <w:marTop w:val="0"/>
      <w:marBottom w:val="0"/>
      <w:divBdr>
        <w:top w:val="none" w:sz="0" w:space="0" w:color="auto"/>
        <w:left w:val="none" w:sz="0" w:space="0" w:color="auto"/>
        <w:bottom w:val="none" w:sz="0" w:space="0" w:color="auto"/>
        <w:right w:val="none" w:sz="0" w:space="0" w:color="auto"/>
      </w:divBdr>
    </w:div>
    <w:div w:id="1910723406">
      <w:bodyDiv w:val="1"/>
      <w:marLeft w:val="0"/>
      <w:marRight w:val="0"/>
      <w:marTop w:val="0"/>
      <w:marBottom w:val="0"/>
      <w:divBdr>
        <w:top w:val="none" w:sz="0" w:space="0" w:color="auto"/>
        <w:left w:val="none" w:sz="0" w:space="0" w:color="auto"/>
        <w:bottom w:val="none" w:sz="0" w:space="0" w:color="auto"/>
        <w:right w:val="none" w:sz="0" w:space="0" w:color="auto"/>
      </w:divBdr>
    </w:div>
    <w:div w:id="2004040299">
      <w:bodyDiv w:val="1"/>
      <w:marLeft w:val="0"/>
      <w:marRight w:val="0"/>
      <w:marTop w:val="0"/>
      <w:marBottom w:val="0"/>
      <w:divBdr>
        <w:top w:val="none" w:sz="0" w:space="0" w:color="auto"/>
        <w:left w:val="none" w:sz="0" w:space="0" w:color="auto"/>
        <w:bottom w:val="none" w:sz="0" w:space="0" w:color="auto"/>
        <w:right w:val="none" w:sz="0" w:space="0" w:color="auto"/>
      </w:divBdr>
    </w:div>
    <w:div w:id="2126655303">
      <w:bodyDiv w:val="1"/>
      <w:marLeft w:val="0"/>
      <w:marRight w:val="0"/>
      <w:marTop w:val="0"/>
      <w:marBottom w:val="0"/>
      <w:divBdr>
        <w:top w:val="none" w:sz="0" w:space="0" w:color="auto"/>
        <w:left w:val="none" w:sz="0" w:space="0" w:color="auto"/>
        <w:bottom w:val="none" w:sz="0" w:space="0" w:color="auto"/>
        <w:right w:val="none" w:sz="0" w:space="0" w:color="auto"/>
      </w:divBdr>
    </w:div>
    <w:div w:id="2138908685">
      <w:bodyDiv w:val="1"/>
      <w:marLeft w:val="0"/>
      <w:marRight w:val="0"/>
      <w:marTop w:val="0"/>
      <w:marBottom w:val="0"/>
      <w:divBdr>
        <w:top w:val="none" w:sz="0" w:space="0" w:color="auto"/>
        <w:left w:val="none" w:sz="0" w:space="0" w:color="auto"/>
        <w:bottom w:val="none" w:sz="0" w:space="0" w:color="auto"/>
        <w:right w:val="none" w:sz="0" w:space="0" w:color="auto"/>
      </w:divBdr>
    </w:div>
    <w:div w:id="21473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3456</Words>
  <Characters>19700</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OSBUK</cp:lastModifiedBy>
  <cp:revision>2</cp:revision>
  <dcterms:created xsi:type="dcterms:W3CDTF">2026-04-01T07:27:00Z</dcterms:created>
  <dcterms:modified xsi:type="dcterms:W3CDTF">2026-04-01T07:27:00Z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datetime=2026-03-02T08:30:25.044Z</vt:lpwstr>
  </property>
</Properties>
</file>